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AD0F66">
      <w:pPr>
        <w:pStyle w:val="23"/>
        <w:ind w:left="0" w:leftChars="0" w:firstLine="0" w:firstLineChars="0"/>
        <w:rPr>
          <w:rFonts w:hint="eastAsia" w:ascii="方正小标宋简体" w:hAnsi="宋体" w:eastAsia="方正小标宋简体"/>
          <w:b/>
          <w:sz w:val="32"/>
          <w:szCs w:val="32"/>
        </w:rPr>
      </w:pPr>
    </w:p>
    <w:p w14:paraId="36E94C56">
      <w:pPr>
        <w:pStyle w:val="23"/>
        <w:ind w:firstLine="883"/>
        <w:rPr>
          <w:rFonts w:ascii="方正小标宋简体" w:hAnsi="宋体" w:eastAsia="方正小标宋简体"/>
          <w:b/>
          <w:sz w:val="44"/>
          <w:szCs w:val="44"/>
        </w:rPr>
      </w:pPr>
    </w:p>
    <w:p w14:paraId="126F0B32">
      <w:pPr>
        <w:pStyle w:val="23"/>
        <w:ind w:firstLine="883"/>
        <w:rPr>
          <w:rFonts w:ascii="方正小标宋简体" w:hAnsi="宋体" w:eastAsia="方正小标宋简体"/>
          <w:b/>
          <w:sz w:val="44"/>
          <w:szCs w:val="44"/>
        </w:rPr>
      </w:pPr>
    </w:p>
    <w:p w14:paraId="3C3F2646">
      <w:pPr>
        <w:keepNext/>
        <w:keepLines/>
        <w:spacing w:line="600" w:lineRule="exact"/>
        <w:jc w:val="center"/>
        <w:rPr>
          <w:rFonts w:ascii="黑体" w:hAnsi="黑体" w:eastAsia="黑体" w:cs="黑体"/>
          <w:sz w:val="44"/>
          <w:szCs w:val="44"/>
        </w:rPr>
      </w:pPr>
      <w:bookmarkStart w:id="0" w:name="_Toc21442"/>
      <w:r>
        <w:rPr>
          <w:rFonts w:hint="eastAsia" w:ascii="黑体" w:hAnsi="黑体" w:eastAsia="黑体" w:cs="黑体"/>
          <w:sz w:val="44"/>
          <w:szCs w:val="44"/>
        </w:rPr>
        <w:t>阜阳市“十四五”工业发展规划</w:t>
      </w:r>
    </w:p>
    <w:p w14:paraId="11549EAE">
      <w:pPr>
        <w:keepNext/>
        <w:keepLines/>
        <w:spacing w:line="600" w:lineRule="exact"/>
        <w:jc w:val="center"/>
        <w:rPr>
          <w:rFonts w:ascii="黑体" w:hAnsi="黑体" w:eastAsia="黑体" w:cs="黑体"/>
          <w:sz w:val="44"/>
          <w:szCs w:val="44"/>
        </w:rPr>
      </w:pPr>
      <w:r>
        <w:rPr>
          <w:rFonts w:hint="eastAsia" w:ascii="黑体" w:hAnsi="黑体" w:eastAsia="黑体" w:cs="黑体"/>
          <w:sz w:val="44"/>
          <w:szCs w:val="44"/>
        </w:rPr>
        <w:t>（</w:t>
      </w:r>
      <w:r>
        <w:rPr>
          <w:rFonts w:hint="eastAsia" w:ascii="黑体" w:hAnsi="黑体" w:eastAsia="黑体" w:cs="黑体"/>
          <w:sz w:val="44"/>
          <w:szCs w:val="44"/>
          <w:lang w:eastAsia="zh-CN"/>
        </w:rPr>
        <w:t>评审</w:t>
      </w:r>
      <w:r>
        <w:rPr>
          <w:rFonts w:hint="eastAsia" w:ascii="黑体" w:hAnsi="黑体" w:eastAsia="黑体" w:cs="黑体"/>
          <w:sz w:val="44"/>
          <w:szCs w:val="44"/>
        </w:rPr>
        <w:t>稿</w:t>
      </w:r>
      <w:bookmarkEnd w:id="0"/>
      <w:r>
        <w:rPr>
          <w:rFonts w:hint="eastAsia" w:ascii="黑体" w:hAnsi="黑体" w:eastAsia="黑体" w:cs="黑体"/>
          <w:sz w:val="44"/>
          <w:szCs w:val="44"/>
          <w:lang w:eastAsia="zh-CN"/>
        </w:rPr>
        <w:t>修改</w:t>
      </w:r>
      <w:r>
        <w:rPr>
          <w:rFonts w:hint="eastAsia" w:ascii="黑体" w:hAnsi="黑体" w:eastAsia="黑体" w:cs="黑体"/>
          <w:sz w:val="44"/>
          <w:szCs w:val="44"/>
        </w:rPr>
        <w:t>）</w:t>
      </w:r>
    </w:p>
    <w:p w14:paraId="7FE21A57">
      <w:pPr>
        <w:pStyle w:val="23"/>
        <w:ind w:firstLine="883"/>
        <w:rPr>
          <w:rFonts w:ascii="方正小标宋简体" w:hAnsi="宋体" w:eastAsia="方正小标宋简体"/>
          <w:b/>
          <w:sz w:val="44"/>
          <w:szCs w:val="44"/>
        </w:rPr>
      </w:pPr>
    </w:p>
    <w:p w14:paraId="352F91D2">
      <w:pPr>
        <w:pStyle w:val="23"/>
        <w:ind w:firstLine="883"/>
        <w:rPr>
          <w:rFonts w:ascii="方正小标宋简体" w:hAnsi="宋体" w:eastAsia="方正小标宋简体"/>
          <w:b/>
          <w:sz w:val="44"/>
          <w:szCs w:val="44"/>
        </w:rPr>
      </w:pPr>
    </w:p>
    <w:p w14:paraId="757B026C">
      <w:pPr>
        <w:pStyle w:val="23"/>
        <w:ind w:firstLine="883"/>
        <w:rPr>
          <w:rFonts w:ascii="方正小标宋简体" w:hAnsi="宋体" w:eastAsia="方正小标宋简体"/>
          <w:b/>
          <w:sz w:val="44"/>
          <w:szCs w:val="44"/>
        </w:rPr>
      </w:pPr>
    </w:p>
    <w:p w14:paraId="215542E9">
      <w:pPr>
        <w:pStyle w:val="23"/>
        <w:ind w:firstLine="883"/>
        <w:rPr>
          <w:rFonts w:ascii="方正小标宋简体" w:hAnsi="宋体" w:eastAsia="方正小标宋简体"/>
          <w:b/>
          <w:sz w:val="44"/>
          <w:szCs w:val="44"/>
        </w:rPr>
      </w:pPr>
    </w:p>
    <w:p w14:paraId="6AC3B9DB">
      <w:pPr>
        <w:pStyle w:val="23"/>
        <w:ind w:left="0" w:leftChars="0" w:firstLine="0" w:firstLineChars="0"/>
        <w:rPr>
          <w:rFonts w:ascii="方正小标宋简体" w:hAnsi="宋体" w:eastAsia="方正小标宋简体"/>
          <w:b/>
          <w:sz w:val="44"/>
          <w:szCs w:val="44"/>
        </w:rPr>
      </w:pPr>
    </w:p>
    <w:p w14:paraId="5C1E5A91">
      <w:pPr>
        <w:pStyle w:val="23"/>
        <w:ind w:left="0" w:leftChars="0" w:firstLine="0" w:firstLineChars="0"/>
        <w:rPr>
          <w:rFonts w:ascii="方正小标宋简体" w:hAnsi="宋体" w:eastAsia="方正小标宋简体"/>
          <w:b/>
          <w:sz w:val="44"/>
          <w:szCs w:val="44"/>
        </w:rPr>
      </w:pPr>
    </w:p>
    <w:p w14:paraId="5ED208BE">
      <w:pPr>
        <w:pStyle w:val="23"/>
        <w:ind w:left="0" w:leftChars="0" w:firstLine="0" w:firstLineChars="0"/>
        <w:rPr>
          <w:rFonts w:ascii="方正小标宋简体" w:hAnsi="宋体" w:eastAsia="方正小标宋简体"/>
          <w:b/>
          <w:sz w:val="44"/>
          <w:szCs w:val="44"/>
        </w:rPr>
      </w:pPr>
    </w:p>
    <w:p w14:paraId="025976CD">
      <w:pPr>
        <w:keepNext/>
        <w:keepLines/>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黑体" w:hAnsi="黑体" w:eastAsia="黑体" w:cs="黑体"/>
          <w:sz w:val="32"/>
          <w:szCs w:val="32"/>
        </w:rPr>
      </w:pPr>
      <w:r>
        <w:rPr>
          <w:rFonts w:hint="eastAsia" w:ascii="黑体" w:hAnsi="黑体" w:eastAsia="黑体" w:cs="黑体"/>
          <w:sz w:val="32"/>
          <w:szCs w:val="32"/>
        </w:rPr>
        <w:t>阜阳市经济和信息化局</w:t>
      </w:r>
    </w:p>
    <w:p w14:paraId="6C10A6D4">
      <w:pPr>
        <w:keepNext/>
        <w:keepLines/>
        <w:spacing w:line="240" w:lineRule="auto"/>
        <w:jc w:val="center"/>
        <w:rPr>
          <w:rFonts w:ascii="黑体" w:hAnsi="黑体" w:eastAsia="黑体" w:cs="黑体"/>
          <w:sz w:val="44"/>
          <w:szCs w:val="44"/>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黑体" w:hAnsi="黑体" w:eastAsia="黑体" w:cs="黑体"/>
          <w:sz w:val="32"/>
          <w:szCs w:val="32"/>
        </w:rPr>
        <w:t>202</w:t>
      </w:r>
      <w:r>
        <w:rPr>
          <w:rFonts w:hint="eastAsia" w:ascii="黑体" w:hAnsi="黑体" w:eastAsia="黑体" w:cs="黑体"/>
          <w:sz w:val="32"/>
          <w:szCs w:val="32"/>
          <w:lang w:val="en-US" w:eastAsia="zh-CN"/>
        </w:rPr>
        <w:t>2</w:t>
      </w:r>
      <w:r>
        <w:rPr>
          <w:rFonts w:hint="eastAsia" w:ascii="黑体" w:hAnsi="黑体" w:eastAsia="黑体" w:cs="黑体"/>
          <w:sz w:val="32"/>
          <w:szCs w:val="32"/>
        </w:rPr>
        <w:t>年</w:t>
      </w:r>
      <w:r>
        <w:rPr>
          <w:rFonts w:hint="eastAsia" w:ascii="黑体" w:hAnsi="黑体" w:eastAsia="黑体" w:cs="黑体"/>
          <w:sz w:val="32"/>
          <w:szCs w:val="32"/>
          <w:lang w:val="en-US" w:eastAsia="zh-CN"/>
        </w:rPr>
        <w:t>4</w:t>
      </w:r>
      <w:r>
        <w:rPr>
          <w:rFonts w:hint="eastAsia" w:ascii="黑体" w:hAnsi="黑体" w:eastAsia="黑体" w:cs="黑体"/>
          <w:sz w:val="32"/>
          <w:szCs w:val="32"/>
        </w:rPr>
        <w:t>月</w:t>
      </w:r>
    </w:p>
    <w:p w14:paraId="53B5D940">
      <w:pPr>
        <w:ind w:firstLine="640" w:firstLineChars="200"/>
        <w:rPr>
          <w:rFonts w:ascii="黑体" w:hAnsi="黑体" w:eastAsia="黑体" w:cs="黑体"/>
          <w:sz w:val="32"/>
          <w:szCs w:val="32"/>
        </w:rPr>
      </w:pPr>
    </w:p>
    <w:p w14:paraId="750BDED8">
      <w:pPr>
        <w:pStyle w:val="23"/>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19B6602C">
      <w:pPr>
        <w:keepNext/>
        <w:keepLines/>
        <w:spacing w:line="600" w:lineRule="exact"/>
        <w:jc w:val="center"/>
        <w:outlineLvl w:val="0"/>
        <w:rPr>
          <w:rFonts w:ascii="黑体" w:hAnsi="黑体" w:eastAsia="黑体" w:cs="黑体"/>
          <w:sz w:val="44"/>
          <w:szCs w:val="44"/>
        </w:rPr>
      </w:pPr>
      <w:bookmarkStart w:id="1" w:name="_Toc7553"/>
      <w:bookmarkStart w:id="2" w:name="_Toc19150"/>
      <w:bookmarkStart w:id="3" w:name="_Toc7343"/>
      <w:bookmarkStart w:id="4" w:name="_Toc18447"/>
      <w:bookmarkStart w:id="5" w:name="_Toc30290"/>
      <w:bookmarkStart w:id="6" w:name="_Toc10931"/>
      <w:bookmarkStart w:id="7" w:name="_Toc10720"/>
      <w:bookmarkStart w:id="8" w:name="_Toc28089"/>
      <w:bookmarkStart w:id="9" w:name="_Toc23592"/>
      <w:bookmarkStart w:id="10" w:name="_Toc23374"/>
      <w:r>
        <w:rPr>
          <w:rFonts w:hint="eastAsia" w:ascii="黑体" w:hAnsi="黑体" w:eastAsia="黑体" w:cs="黑体"/>
          <w:sz w:val="44"/>
          <w:szCs w:val="44"/>
        </w:rPr>
        <w:t>目  录</w:t>
      </w:r>
      <w:bookmarkEnd w:id="1"/>
      <w:bookmarkEnd w:id="2"/>
      <w:bookmarkEnd w:id="3"/>
      <w:bookmarkEnd w:id="4"/>
      <w:bookmarkEnd w:id="5"/>
      <w:bookmarkEnd w:id="6"/>
      <w:bookmarkEnd w:id="7"/>
      <w:bookmarkEnd w:id="8"/>
      <w:bookmarkEnd w:id="9"/>
      <w:bookmarkEnd w:id="10"/>
    </w:p>
    <w:p w14:paraId="0A86786E">
      <w:pPr>
        <w:pStyle w:val="17"/>
        <w:tabs>
          <w:tab w:val="right" w:leader="dot" w:pos="8306"/>
        </w:tabs>
      </w:pPr>
      <w:r>
        <w:rPr>
          <w:rFonts w:hint="eastAsia" w:ascii="楷体_GB2312" w:hAnsi="楷体_GB2312" w:eastAsia="楷体_GB2312" w:cs="楷体_GB2312"/>
          <w:b/>
          <w:sz w:val="28"/>
          <w:szCs w:val="28"/>
        </w:rPr>
        <w:fldChar w:fldCharType="begin"/>
      </w:r>
      <w:r>
        <w:rPr>
          <w:rFonts w:hint="eastAsia" w:ascii="楷体_GB2312" w:hAnsi="楷体_GB2312" w:eastAsia="楷体_GB2312" w:cs="楷体_GB2312"/>
          <w:b/>
          <w:sz w:val="28"/>
          <w:szCs w:val="28"/>
        </w:rPr>
        <w:instrText xml:space="preserve">TOC \o "1-2" \h \u </w:instrText>
      </w:r>
      <w:r>
        <w:rPr>
          <w:rFonts w:hint="eastAsia" w:ascii="楷体_GB2312" w:hAnsi="楷体_GB2312" w:eastAsia="楷体_GB2312" w:cs="楷体_GB2312"/>
          <w:b/>
          <w:sz w:val="28"/>
          <w:szCs w:val="28"/>
        </w:rPr>
        <w:fldChar w:fldCharType="separate"/>
      </w:r>
    </w:p>
    <w:p w14:paraId="0802E79C">
      <w:pPr>
        <w:pStyle w:val="17"/>
        <w:tabs>
          <w:tab w:val="right" w:leader="dot" w:pos="8306"/>
        </w:tabs>
        <w:rPr>
          <w:rFonts w:hint="eastAsia" w:ascii="黑体" w:hAnsi="黑体" w:eastAsia="黑体" w:cs="黑体"/>
          <w:sz w:val="28"/>
          <w:szCs w:val="28"/>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HYPERLINK \l _Toc27661 </w:instrText>
      </w:r>
      <w:r>
        <w:rPr>
          <w:rFonts w:hint="eastAsia" w:ascii="黑体" w:hAnsi="黑体" w:eastAsia="黑体" w:cs="黑体"/>
          <w:sz w:val="28"/>
          <w:szCs w:val="28"/>
        </w:rPr>
        <w:fldChar w:fldCharType="separate"/>
      </w:r>
      <w:r>
        <w:rPr>
          <w:rFonts w:hint="eastAsia" w:ascii="黑体" w:hAnsi="黑体" w:eastAsia="黑体" w:cs="黑体"/>
          <w:sz w:val="28"/>
          <w:szCs w:val="28"/>
        </w:rPr>
        <w:t>前  言</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_Toc27661 \h </w:instrText>
      </w:r>
      <w:r>
        <w:rPr>
          <w:rFonts w:hint="eastAsia" w:ascii="黑体" w:hAnsi="黑体" w:eastAsia="黑体" w:cs="黑体"/>
          <w:sz w:val="28"/>
          <w:szCs w:val="28"/>
        </w:rPr>
        <w:fldChar w:fldCharType="separate"/>
      </w:r>
      <w:r>
        <w:rPr>
          <w:rFonts w:hint="eastAsia" w:ascii="黑体" w:hAnsi="黑体" w:eastAsia="黑体" w:cs="黑体"/>
          <w:sz w:val="28"/>
          <w:szCs w:val="28"/>
        </w:rPr>
        <w:t>1</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p>
    <w:p w14:paraId="0E838E51">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_Toc23086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kern w:val="0"/>
          <w:sz w:val="28"/>
          <w:szCs w:val="28"/>
        </w:rPr>
        <w:t>（一）背景意义</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_Toc23086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1</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33303CB3">
      <w:pPr>
        <w:pStyle w:val="19"/>
        <w:tabs>
          <w:tab w:val="right" w:leader="dot" w:pos="8306"/>
        </w:tabs>
        <w:rPr>
          <w:rFonts w:hint="eastAsia" w:ascii="黑体" w:hAnsi="黑体" w:eastAsia="黑体" w:cs="黑体"/>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_Toc12701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kern w:val="0"/>
          <w:sz w:val="28"/>
          <w:szCs w:val="28"/>
        </w:rPr>
        <w:t>（二）规划条件</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_Toc12701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2</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7BC6291D">
      <w:pPr>
        <w:pStyle w:val="17"/>
        <w:tabs>
          <w:tab w:val="right" w:leader="dot" w:pos="8306"/>
        </w:tabs>
        <w:rPr>
          <w:rFonts w:hint="eastAsia" w:ascii="黑体" w:hAnsi="黑体" w:eastAsia="黑体" w:cs="黑体"/>
          <w:sz w:val="28"/>
          <w:szCs w:val="28"/>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HYPERLINK \l _Toc16263 </w:instrText>
      </w:r>
      <w:r>
        <w:rPr>
          <w:rFonts w:hint="eastAsia" w:ascii="黑体" w:hAnsi="黑体" w:eastAsia="黑体" w:cs="黑体"/>
          <w:sz w:val="28"/>
          <w:szCs w:val="28"/>
        </w:rPr>
        <w:fldChar w:fldCharType="separate"/>
      </w:r>
      <w:r>
        <w:rPr>
          <w:rFonts w:hint="eastAsia" w:ascii="黑体" w:hAnsi="黑体" w:eastAsia="黑体" w:cs="黑体"/>
          <w:sz w:val="28"/>
          <w:szCs w:val="28"/>
        </w:rPr>
        <w:t>一、工业发展现状与发展环境</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_Toc16263 \h </w:instrText>
      </w:r>
      <w:r>
        <w:rPr>
          <w:rFonts w:hint="eastAsia" w:ascii="黑体" w:hAnsi="黑体" w:eastAsia="黑体" w:cs="黑体"/>
          <w:sz w:val="28"/>
          <w:szCs w:val="28"/>
        </w:rPr>
        <w:fldChar w:fldCharType="separate"/>
      </w:r>
      <w:r>
        <w:rPr>
          <w:rFonts w:hint="eastAsia" w:ascii="黑体" w:hAnsi="黑体" w:eastAsia="黑体" w:cs="黑体"/>
          <w:sz w:val="28"/>
          <w:szCs w:val="28"/>
        </w:rPr>
        <w:t>7</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p>
    <w:p w14:paraId="233064A6">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_Toc11282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kern w:val="2"/>
          <w:sz w:val="28"/>
          <w:szCs w:val="28"/>
        </w:rPr>
        <w:t>（一）发展现状</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_Toc11282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7</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618417DE">
      <w:pPr>
        <w:pStyle w:val="19"/>
        <w:tabs>
          <w:tab w:val="right" w:leader="dot" w:pos="8306"/>
        </w:tabs>
        <w:rPr>
          <w:rFonts w:hint="eastAsia" w:ascii="黑体" w:hAnsi="黑体" w:eastAsia="黑体" w:cs="黑体"/>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_Toc27339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kern w:val="2"/>
          <w:sz w:val="28"/>
          <w:szCs w:val="28"/>
        </w:rPr>
        <w:t>（二）发展环境</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_Toc27339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14</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6880AE70">
      <w:pPr>
        <w:pStyle w:val="17"/>
        <w:tabs>
          <w:tab w:val="right" w:leader="dot" w:pos="8306"/>
        </w:tabs>
        <w:rPr>
          <w:rFonts w:hint="eastAsia" w:ascii="黑体" w:hAnsi="黑体" w:eastAsia="黑体" w:cs="黑体"/>
          <w:sz w:val="28"/>
          <w:szCs w:val="28"/>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HYPERLINK \l _Toc3079 </w:instrText>
      </w:r>
      <w:r>
        <w:rPr>
          <w:rFonts w:hint="eastAsia" w:ascii="黑体" w:hAnsi="黑体" w:eastAsia="黑体" w:cs="黑体"/>
          <w:sz w:val="28"/>
          <w:szCs w:val="28"/>
        </w:rPr>
        <w:fldChar w:fldCharType="separate"/>
      </w:r>
      <w:r>
        <w:rPr>
          <w:rFonts w:hint="eastAsia" w:ascii="黑体" w:hAnsi="黑体" w:eastAsia="黑体" w:cs="黑体"/>
          <w:sz w:val="28"/>
          <w:szCs w:val="28"/>
        </w:rPr>
        <w:t>二、总体思路</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_Toc3079 \h </w:instrText>
      </w:r>
      <w:r>
        <w:rPr>
          <w:rFonts w:hint="eastAsia" w:ascii="黑体" w:hAnsi="黑体" w:eastAsia="黑体" w:cs="黑体"/>
          <w:sz w:val="28"/>
          <w:szCs w:val="28"/>
        </w:rPr>
        <w:fldChar w:fldCharType="separate"/>
      </w:r>
      <w:r>
        <w:rPr>
          <w:rFonts w:hint="eastAsia" w:ascii="黑体" w:hAnsi="黑体" w:eastAsia="黑体" w:cs="黑体"/>
          <w:sz w:val="28"/>
          <w:szCs w:val="28"/>
        </w:rPr>
        <w:t>18</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p>
    <w:p w14:paraId="6B204F69">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_Toc4298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（一）指导思想</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_Toc4298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18</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4F4E7F1B">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_Toc1804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（二）发展原则</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_Toc1804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18</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2FD5098D">
      <w:pPr>
        <w:pStyle w:val="19"/>
        <w:tabs>
          <w:tab w:val="right" w:leader="dot" w:pos="8306"/>
        </w:tabs>
        <w:rPr>
          <w:rFonts w:hint="eastAsia" w:ascii="黑体" w:hAnsi="黑体" w:eastAsia="黑体" w:cs="黑体"/>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_Toc7378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（三）发展目标</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_Toc7378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19</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4D815D69">
      <w:pPr>
        <w:pStyle w:val="17"/>
        <w:tabs>
          <w:tab w:val="right" w:leader="dot" w:pos="8306"/>
        </w:tabs>
        <w:rPr>
          <w:rFonts w:hint="eastAsia" w:ascii="黑体" w:hAnsi="黑体" w:eastAsia="黑体" w:cs="黑体"/>
          <w:sz w:val="28"/>
          <w:szCs w:val="28"/>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HYPERLINK \l _Toc8010 </w:instrText>
      </w:r>
      <w:r>
        <w:rPr>
          <w:rFonts w:hint="eastAsia" w:ascii="黑体" w:hAnsi="黑体" w:eastAsia="黑体" w:cs="黑体"/>
          <w:sz w:val="28"/>
          <w:szCs w:val="28"/>
        </w:rPr>
        <w:fldChar w:fldCharType="separate"/>
      </w:r>
      <w:r>
        <w:rPr>
          <w:rFonts w:hint="eastAsia" w:ascii="黑体" w:hAnsi="黑体" w:eastAsia="黑体" w:cs="黑体"/>
          <w:sz w:val="28"/>
          <w:szCs w:val="28"/>
        </w:rPr>
        <w:t>三、工业发展重点领域</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_Toc8010 \h </w:instrText>
      </w:r>
      <w:r>
        <w:rPr>
          <w:rFonts w:hint="eastAsia" w:ascii="黑体" w:hAnsi="黑体" w:eastAsia="黑体" w:cs="黑体"/>
          <w:sz w:val="28"/>
          <w:szCs w:val="28"/>
        </w:rPr>
        <w:fldChar w:fldCharType="separate"/>
      </w:r>
      <w:r>
        <w:rPr>
          <w:rFonts w:hint="eastAsia" w:ascii="黑体" w:hAnsi="黑体" w:eastAsia="黑体" w:cs="黑体"/>
          <w:sz w:val="28"/>
          <w:szCs w:val="28"/>
        </w:rPr>
        <w:t>23</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p>
    <w:p w14:paraId="22CAC201">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_Toc1077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（一）</w:t>
      </w:r>
      <w:r>
        <w:rPr>
          <w:rFonts w:hint="eastAsia" w:ascii="楷体_GB2312" w:hAnsi="楷体_GB2312" w:eastAsia="楷体_GB2312" w:cs="楷体_GB2312"/>
          <w:b w:val="0"/>
          <w:bCs w:val="0"/>
          <w:sz w:val="28"/>
          <w:szCs w:val="28"/>
          <w:lang w:val="en-US" w:eastAsia="zh-CN"/>
        </w:rPr>
        <w:t>新能源和</w:t>
      </w:r>
      <w:r>
        <w:rPr>
          <w:rFonts w:hint="eastAsia" w:ascii="楷体_GB2312" w:hAnsi="楷体_GB2312" w:eastAsia="楷体_GB2312" w:cs="楷体_GB2312"/>
          <w:b w:val="0"/>
          <w:bCs w:val="0"/>
          <w:sz w:val="28"/>
          <w:szCs w:val="28"/>
        </w:rPr>
        <w:t>节能环保产业</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_Toc1077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23</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370E5300">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_Toc10608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w:t>
      </w:r>
      <w:r>
        <w:rPr>
          <w:rFonts w:hint="eastAsia" w:ascii="楷体_GB2312" w:hAnsi="楷体_GB2312" w:eastAsia="楷体_GB2312" w:cs="楷体_GB2312"/>
          <w:b w:val="0"/>
          <w:bCs w:val="0"/>
          <w:sz w:val="28"/>
          <w:szCs w:val="28"/>
          <w:lang w:val="en-US" w:eastAsia="zh-CN"/>
        </w:rPr>
        <w:t>二</w:t>
      </w:r>
      <w:r>
        <w:rPr>
          <w:rFonts w:hint="eastAsia" w:ascii="楷体_GB2312" w:hAnsi="楷体_GB2312" w:eastAsia="楷体_GB2312" w:cs="楷体_GB2312"/>
          <w:b w:val="0"/>
          <w:bCs w:val="0"/>
          <w:sz w:val="28"/>
          <w:szCs w:val="28"/>
        </w:rPr>
        <w:t>）新材料产业</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_Toc10608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31</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4C45C529">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_Toc13052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w:t>
      </w:r>
      <w:r>
        <w:rPr>
          <w:rFonts w:hint="eastAsia" w:ascii="楷体_GB2312" w:hAnsi="楷体_GB2312" w:eastAsia="楷体_GB2312" w:cs="楷体_GB2312"/>
          <w:b w:val="0"/>
          <w:bCs w:val="0"/>
          <w:sz w:val="28"/>
          <w:szCs w:val="28"/>
          <w:lang w:val="en-US" w:eastAsia="zh-CN"/>
        </w:rPr>
        <w:t>三</w:t>
      </w:r>
      <w:r>
        <w:rPr>
          <w:rFonts w:hint="eastAsia" w:ascii="楷体_GB2312" w:hAnsi="楷体_GB2312" w:eastAsia="楷体_GB2312" w:cs="楷体_GB2312"/>
          <w:b w:val="0"/>
          <w:bCs w:val="0"/>
          <w:sz w:val="28"/>
          <w:szCs w:val="28"/>
        </w:rPr>
        <w:t>）绿色食品产业</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_Toc13052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36</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379912A7">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_Toc2832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w:t>
      </w:r>
      <w:r>
        <w:rPr>
          <w:rFonts w:hint="eastAsia" w:ascii="楷体_GB2312" w:hAnsi="楷体_GB2312" w:eastAsia="楷体_GB2312" w:cs="楷体_GB2312"/>
          <w:b w:val="0"/>
          <w:bCs w:val="0"/>
          <w:sz w:val="28"/>
          <w:szCs w:val="28"/>
          <w:lang w:val="en-US" w:eastAsia="zh-CN"/>
        </w:rPr>
        <w:t>四</w:t>
      </w:r>
      <w:r>
        <w:rPr>
          <w:rFonts w:hint="eastAsia" w:ascii="楷体_GB2312" w:hAnsi="楷体_GB2312" w:eastAsia="楷体_GB2312" w:cs="楷体_GB2312"/>
          <w:b w:val="0"/>
          <w:bCs w:val="0"/>
          <w:sz w:val="28"/>
          <w:szCs w:val="28"/>
        </w:rPr>
        <w:t>）</w:t>
      </w:r>
      <w:r>
        <w:rPr>
          <w:rFonts w:hint="eastAsia" w:ascii="楷体_GB2312" w:hAnsi="楷体_GB2312" w:eastAsia="楷体_GB2312" w:cs="楷体_GB2312"/>
          <w:b w:val="0"/>
          <w:bCs w:val="0"/>
          <w:sz w:val="28"/>
          <w:szCs w:val="28"/>
          <w:lang w:val="en-US" w:eastAsia="zh-CN"/>
        </w:rPr>
        <w:t>生命健康</w:t>
      </w:r>
      <w:r>
        <w:rPr>
          <w:rFonts w:hint="eastAsia" w:ascii="楷体_GB2312" w:hAnsi="楷体_GB2312" w:eastAsia="楷体_GB2312" w:cs="楷体_GB2312"/>
          <w:b w:val="0"/>
          <w:bCs w:val="0"/>
          <w:sz w:val="28"/>
          <w:szCs w:val="28"/>
        </w:rPr>
        <w:t>产业</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_Toc2832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43</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3B0CDE60">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_Toc17245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（五）装备制造</w:t>
      </w:r>
      <w:r>
        <w:rPr>
          <w:rFonts w:hint="eastAsia" w:ascii="楷体_GB2312" w:hAnsi="楷体_GB2312" w:eastAsia="楷体_GB2312" w:cs="楷体_GB2312"/>
          <w:b w:val="0"/>
          <w:bCs w:val="0"/>
          <w:sz w:val="28"/>
          <w:szCs w:val="28"/>
          <w:lang w:val="en-US" w:eastAsia="zh-CN"/>
        </w:rPr>
        <w:t>和新能源汽车</w:t>
      </w:r>
      <w:r>
        <w:rPr>
          <w:rFonts w:hint="eastAsia" w:ascii="楷体_GB2312" w:hAnsi="楷体_GB2312" w:eastAsia="楷体_GB2312" w:cs="楷体_GB2312"/>
          <w:b w:val="0"/>
          <w:bCs w:val="0"/>
          <w:sz w:val="28"/>
          <w:szCs w:val="28"/>
        </w:rPr>
        <w:t>产业</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_Toc17245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49</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54E20300">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_Toc15565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w:t>
      </w:r>
      <w:r>
        <w:rPr>
          <w:rFonts w:hint="eastAsia" w:ascii="楷体_GB2312" w:hAnsi="楷体_GB2312" w:eastAsia="楷体_GB2312" w:cs="楷体_GB2312"/>
          <w:b w:val="0"/>
          <w:bCs w:val="0"/>
          <w:sz w:val="28"/>
          <w:szCs w:val="28"/>
          <w:lang w:val="en-US" w:eastAsia="zh-CN"/>
        </w:rPr>
        <w:t>六</w:t>
      </w:r>
      <w:r>
        <w:rPr>
          <w:rFonts w:hint="eastAsia" w:ascii="楷体_GB2312" w:hAnsi="楷体_GB2312" w:eastAsia="楷体_GB2312" w:cs="楷体_GB2312"/>
          <w:b w:val="0"/>
          <w:bCs w:val="0"/>
          <w:sz w:val="28"/>
          <w:szCs w:val="28"/>
        </w:rPr>
        <w:t>）纺织服装产业</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_Toc15565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55</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581F7E71">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_Toc32168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w:t>
      </w:r>
      <w:r>
        <w:rPr>
          <w:rFonts w:hint="eastAsia" w:ascii="楷体_GB2312" w:hAnsi="楷体_GB2312" w:eastAsia="楷体_GB2312" w:cs="楷体_GB2312"/>
          <w:b w:val="0"/>
          <w:bCs w:val="0"/>
          <w:sz w:val="28"/>
          <w:szCs w:val="28"/>
          <w:lang w:val="en-US" w:eastAsia="zh-CN"/>
        </w:rPr>
        <w:t>七</w:t>
      </w:r>
      <w:r>
        <w:rPr>
          <w:rFonts w:hint="eastAsia" w:ascii="楷体_GB2312" w:hAnsi="楷体_GB2312" w:eastAsia="楷体_GB2312" w:cs="楷体_GB2312"/>
          <w:b w:val="0"/>
          <w:bCs w:val="0"/>
          <w:sz w:val="28"/>
          <w:szCs w:val="28"/>
        </w:rPr>
        <w:t>）绿色建筑建材产业</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_Toc32168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61</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01E45088">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_Toc14088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w:t>
      </w:r>
      <w:r>
        <w:rPr>
          <w:rFonts w:hint="eastAsia" w:ascii="楷体_GB2312" w:hAnsi="楷体_GB2312" w:eastAsia="楷体_GB2312" w:cs="楷体_GB2312"/>
          <w:b w:val="0"/>
          <w:bCs w:val="0"/>
          <w:sz w:val="28"/>
          <w:szCs w:val="28"/>
          <w:lang w:val="en-US" w:eastAsia="zh-CN"/>
        </w:rPr>
        <w:t>八</w:t>
      </w:r>
      <w:r>
        <w:rPr>
          <w:rFonts w:hint="eastAsia" w:ascii="楷体_GB2312" w:hAnsi="楷体_GB2312" w:eastAsia="楷体_GB2312" w:cs="楷体_GB2312"/>
          <w:b w:val="0"/>
          <w:bCs w:val="0"/>
          <w:sz w:val="28"/>
          <w:szCs w:val="28"/>
        </w:rPr>
        <w:t>）</w:t>
      </w:r>
      <w:r>
        <w:rPr>
          <w:rFonts w:hint="eastAsia" w:ascii="楷体_GB2312" w:hAnsi="楷体_GB2312" w:eastAsia="楷体_GB2312" w:cs="楷体_GB2312"/>
          <w:b w:val="0"/>
          <w:bCs w:val="0"/>
          <w:sz w:val="28"/>
          <w:szCs w:val="28"/>
          <w:lang w:val="en-US" w:eastAsia="zh-CN"/>
        </w:rPr>
        <w:t>电子信息及光电显示产业</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_Toc14088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67</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1AB0F103">
      <w:pPr>
        <w:pStyle w:val="19"/>
        <w:tabs>
          <w:tab w:val="right" w:leader="dot" w:pos="8306"/>
        </w:tabs>
        <w:rPr>
          <w:rFonts w:hint="eastAsia" w:ascii="黑体" w:hAnsi="黑体" w:eastAsia="黑体" w:cs="黑体"/>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_Toc19650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lang w:val="en-US" w:eastAsia="zh-CN"/>
        </w:rPr>
        <w:t>九</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lang w:val="en-US" w:eastAsia="zh-CN"/>
        </w:rPr>
        <w:t>其他工业产业</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_Toc19650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70</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6C92C7E5">
      <w:pPr>
        <w:pStyle w:val="17"/>
        <w:tabs>
          <w:tab w:val="right" w:leader="dot" w:pos="8306"/>
        </w:tabs>
        <w:rPr>
          <w:rFonts w:hint="eastAsia" w:ascii="黑体" w:hAnsi="黑体" w:eastAsia="黑体" w:cs="黑体"/>
          <w:sz w:val="28"/>
          <w:szCs w:val="28"/>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HYPERLINK \l _Toc25843 </w:instrText>
      </w:r>
      <w:r>
        <w:rPr>
          <w:rFonts w:hint="eastAsia" w:ascii="黑体" w:hAnsi="黑体" w:eastAsia="黑体" w:cs="黑体"/>
          <w:sz w:val="28"/>
          <w:szCs w:val="28"/>
        </w:rPr>
        <w:fldChar w:fldCharType="separate"/>
      </w:r>
      <w:r>
        <w:rPr>
          <w:rFonts w:hint="eastAsia" w:ascii="黑体" w:hAnsi="黑体" w:eastAsia="黑体" w:cs="黑体"/>
          <w:sz w:val="28"/>
          <w:szCs w:val="28"/>
        </w:rPr>
        <w:t>四、空间布局</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_Toc25843 \h </w:instrText>
      </w:r>
      <w:r>
        <w:rPr>
          <w:rFonts w:hint="eastAsia" w:ascii="黑体" w:hAnsi="黑体" w:eastAsia="黑体" w:cs="黑体"/>
          <w:sz w:val="28"/>
          <w:szCs w:val="28"/>
        </w:rPr>
        <w:fldChar w:fldCharType="separate"/>
      </w:r>
      <w:r>
        <w:rPr>
          <w:rFonts w:hint="eastAsia" w:ascii="黑体" w:hAnsi="黑体" w:eastAsia="黑体" w:cs="黑体"/>
          <w:sz w:val="28"/>
          <w:szCs w:val="28"/>
        </w:rPr>
        <w:t>71</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p>
    <w:p w14:paraId="6DEC2F04">
      <w:pPr>
        <w:pStyle w:val="17"/>
        <w:tabs>
          <w:tab w:val="right" w:leader="dot" w:pos="8306"/>
        </w:tabs>
        <w:rPr>
          <w:rFonts w:hint="eastAsia" w:ascii="黑体" w:hAnsi="黑体" w:eastAsia="黑体" w:cs="黑体"/>
          <w:sz w:val="28"/>
          <w:szCs w:val="28"/>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HYPERLINK \l _Toc29554 </w:instrText>
      </w:r>
      <w:r>
        <w:rPr>
          <w:rFonts w:hint="eastAsia" w:ascii="黑体" w:hAnsi="黑体" w:eastAsia="黑体" w:cs="黑体"/>
          <w:sz w:val="28"/>
          <w:szCs w:val="28"/>
        </w:rPr>
        <w:fldChar w:fldCharType="separate"/>
      </w:r>
      <w:r>
        <w:rPr>
          <w:rFonts w:hint="eastAsia" w:ascii="黑体" w:hAnsi="黑体" w:eastAsia="黑体" w:cs="黑体"/>
          <w:sz w:val="28"/>
          <w:szCs w:val="28"/>
        </w:rPr>
        <w:t>五、工业发展重点任务</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_Toc29554 \h </w:instrText>
      </w:r>
      <w:r>
        <w:rPr>
          <w:rFonts w:hint="eastAsia" w:ascii="黑体" w:hAnsi="黑体" w:eastAsia="黑体" w:cs="黑体"/>
          <w:sz w:val="28"/>
          <w:szCs w:val="28"/>
        </w:rPr>
        <w:fldChar w:fldCharType="separate"/>
      </w:r>
      <w:r>
        <w:rPr>
          <w:rFonts w:hint="eastAsia" w:ascii="黑体" w:hAnsi="黑体" w:eastAsia="黑体" w:cs="黑体"/>
          <w:sz w:val="28"/>
          <w:szCs w:val="28"/>
        </w:rPr>
        <w:t>75</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p>
    <w:p w14:paraId="7146B787">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_Toc22831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w:t>
      </w:r>
      <w:r>
        <w:rPr>
          <w:rFonts w:hint="eastAsia" w:ascii="楷体_GB2312" w:hAnsi="楷体_GB2312" w:eastAsia="楷体_GB2312" w:cs="楷体_GB2312"/>
          <w:b w:val="0"/>
          <w:bCs w:val="0"/>
          <w:sz w:val="28"/>
          <w:szCs w:val="28"/>
          <w:lang w:val="en-US" w:eastAsia="zh-CN"/>
        </w:rPr>
        <w:t>一</w:t>
      </w:r>
      <w:r>
        <w:rPr>
          <w:rFonts w:hint="eastAsia" w:ascii="楷体_GB2312" w:hAnsi="楷体_GB2312" w:eastAsia="楷体_GB2312" w:cs="楷体_GB2312"/>
          <w:b w:val="0"/>
          <w:bCs w:val="0"/>
          <w:sz w:val="28"/>
          <w:szCs w:val="28"/>
        </w:rPr>
        <w:t>）</w:t>
      </w:r>
      <w:r>
        <w:rPr>
          <w:rFonts w:hint="eastAsia" w:ascii="楷体_GB2312" w:hAnsi="楷体_GB2312" w:eastAsia="楷体_GB2312" w:cs="楷体_GB2312"/>
          <w:b w:val="0"/>
          <w:bCs w:val="0"/>
          <w:sz w:val="28"/>
          <w:szCs w:val="28"/>
          <w:lang w:val="en-US" w:eastAsia="zh-CN"/>
        </w:rPr>
        <w:t>创新能力提升</w:t>
      </w:r>
      <w:r>
        <w:rPr>
          <w:rFonts w:hint="eastAsia" w:ascii="楷体_GB2312" w:hAnsi="楷体_GB2312" w:eastAsia="楷体_GB2312" w:cs="楷体_GB2312"/>
          <w:b w:val="0"/>
          <w:bCs w:val="0"/>
          <w:sz w:val="28"/>
          <w:szCs w:val="28"/>
        </w:rPr>
        <w:t>工程</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_Toc22831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75</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2ED4402D">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_Toc28930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w:t>
      </w:r>
      <w:r>
        <w:rPr>
          <w:rFonts w:hint="eastAsia" w:ascii="楷体_GB2312" w:hAnsi="楷体_GB2312" w:eastAsia="楷体_GB2312" w:cs="楷体_GB2312"/>
          <w:b w:val="0"/>
          <w:bCs w:val="0"/>
          <w:sz w:val="28"/>
          <w:szCs w:val="28"/>
          <w:lang w:val="en-US" w:eastAsia="zh-CN"/>
        </w:rPr>
        <w:t>二</w:t>
      </w:r>
      <w:r>
        <w:rPr>
          <w:rFonts w:hint="eastAsia" w:ascii="楷体_GB2312" w:hAnsi="楷体_GB2312" w:eastAsia="楷体_GB2312" w:cs="楷体_GB2312"/>
          <w:b w:val="0"/>
          <w:bCs w:val="0"/>
          <w:sz w:val="28"/>
          <w:szCs w:val="28"/>
        </w:rPr>
        <w:t>）</w:t>
      </w:r>
      <w:r>
        <w:rPr>
          <w:rFonts w:hint="eastAsia" w:ascii="楷体_GB2312" w:hAnsi="楷体_GB2312" w:eastAsia="楷体_GB2312" w:cs="楷体_GB2312"/>
          <w:b w:val="0"/>
          <w:bCs w:val="0"/>
          <w:sz w:val="28"/>
          <w:szCs w:val="28"/>
          <w:lang w:val="en-US" w:eastAsia="zh-CN"/>
        </w:rPr>
        <w:t>优质企业</w:t>
      </w:r>
      <w:r>
        <w:rPr>
          <w:rFonts w:hint="eastAsia" w:ascii="楷体_GB2312" w:hAnsi="楷体_GB2312" w:eastAsia="楷体_GB2312" w:cs="楷体_GB2312"/>
          <w:b w:val="0"/>
          <w:bCs w:val="0"/>
          <w:sz w:val="28"/>
          <w:szCs w:val="28"/>
        </w:rPr>
        <w:t>培育工程</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_Toc28930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78</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1CBF4DA2">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_Toc6235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（三）数字赋能</w:t>
      </w:r>
      <w:r>
        <w:rPr>
          <w:rFonts w:hint="eastAsia" w:ascii="楷体_GB2312" w:hAnsi="楷体_GB2312" w:eastAsia="楷体_GB2312" w:cs="楷体_GB2312"/>
          <w:b w:val="0"/>
          <w:bCs w:val="0"/>
          <w:sz w:val="28"/>
          <w:szCs w:val="28"/>
          <w:lang w:val="en-US" w:eastAsia="zh-CN"/>
        </w:rPr>
        <w:t>发展</w:t>
      </w:r>
      <w:r>
        <w:rPr>
          <w:rFonts w:hint="eastAsia" w:ascii="楷体_GB2312" w:hAnsi="楷体_GB2312" w:eastAsia="楷体_GB2312" w:cs="楷体_GB2312"/>
          <w:b w:val="0"/>
          <w:bCs w:val="0"/>
          <w:sz w:val="28"/>
          <w:szCs w:val="28"/>
        </w:rPr>
        <w:t>工程</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_Toc6235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81</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2E4A0C5D">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_Toc14342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lang w:val="en-US" w:eastAsia="zh-CN"/>
        </w:rPr>
        <w:t>四</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lang w:val="en-US" w:eastAsia="zh-CN"/>
        </w:rPr>
        <w:t>绿色低碳制造工程</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_Toc14342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84</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3AAF0DF0">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_Toc12622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w:t>
      </w:r>
      <w:r>
        <w:rPr>
          <w:rFonts w:hint="eastAsia" w:ascii="楷体_GB2312" w:hAnsi="楷体_GB2312" w:eastAsia="楷体_GB2312" w:cs="楷体_GB2312"/>
          <w:b w:val="0"/>
          <w:bCs w:val="0"/>
          <w:sz w:val="28"/>
          <w:szCs w:val="28"/>
          <w:lang w:val="en-US" w:eastAsia="zh-CN"/>
        </w:rPr>
        <w:t>五</w:t>
      </w:r>
      <w:r>
        <w:rPr>
          <w:rFonts w:hint="eastAsia" w:ascii="楷体_GB2312" w:hAnsi="楷体_GB2312" w:eastAsia="楷体_GB2312" w:cs="楷体_GB2312"/>
          <w:b w:val="0"/>
          <w:bCs w:val="0"/>
          <w:sz w:val="28"/>
          <w:szCs w:val="28"/>
        </w:rPr>
        <w:t>）开放</w:t>
      </w:r>
      <w:r>
        <w:rPr>
          <w:rFonts w:hint="eastAsia" w:ascii="楷体_GB2312" w:hAnsi="楷体_GB2312" w:eastAsia="楷体_GB2312" w:cs="楷体_GB2312"/>
          <w:b w:val="0"/>
          <w:bCs w:val="0"/>
          <w:sz w:val="28"/>
          <w:szCs w:val="28"/>
          <w:lang w:val="en-US" w:eastAsia="zh-CN"/>
        </w:rPr>
        <w:t>融合</w:t>
      </w:r>
      <w:r>
        <w:rPr>
          <w:rFonts w:hint="eastAsia" w:ascii="楷体_GB2312" w:hAnsi="楷体_GB2312" w:eastAsia="楷体_GB2312" w:cs="楷体_GB2312"/>
          <w:b w:val="0"/>
          <w:bCs w:val="0"/>
          <w:sz w:val="28"/>
          <w:szCs w:val="28"/>
        </w:rPr>
        <w:t>发展工程</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_Toc12622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87</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01D969D9">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_Toc12364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w:t>
      </w:r>
      <w:r>
        <w:rPr>
          <w:rFonts w:hint="eastAsia" w:ascii="楷体_GB2312" w:hAnsi="楷体_GB2312" w:eastAsia="楷体_GB2312" w:cs="楷体_GB2312"/>
          <w:b w:val="0"/>
          <w:bCs w:val="0"/>
          <w:sz w:val="28"/>
          <w:szCs w:val="28"/>
          <w:lang w:val="en-US" w:eastAsia="zh-CN"/>
        </w:rPr>
        <w:t>六</w:t>
      </w:r>
      <w:r>
        <w:rPr>
          <w:rFonts w:hint="eastAsia" w:ascii="楷体_GB2312" w:hAnsi="楷体_GB2312" w:eastAsia="楷体_GB2312" w:cs="楷体_GB2312"/>
          <w:b w:val="0"/>
          <w:bCs w:val="0"/>
          <w:sz w:val="28"/>
          <w:szCs w:val="28"/>
        </w:rPr>
        <w:t>）</w:t>
      </w:r>
      <w:r>
        <w:rPr>
          <w:rFonts w:hint="eastAsia" w:ascii="楷体_GB2312" w:hAnsi="楷体_GB2312" w:eastAsia="楷体_GB2312" w:cs="楷体_GB2312"/>
          <w:b w:val="0"/>
          <w:bCs w:val="0"/>
          <w:sz w:val="28"/>
          <w:szCs w:val="28"/>
          <w:lang w:val="en-US" w:eastAsia="zh-CN"/>
        </w:rPr>
        <w:t>质量品牌提升</w:t>
      </w:r>
      <w:r>
        <w:rPr>
          <w:rFonts w:hint="eastAsia" w:ascii="楷体_GB2312" w:hAnsi="楷体_GB2312" w:eastAsia="楷体_GB2312" w:cs="楷体_GB2312"/>
          <w:b w:val="0"/>
          <w:bCs w:val="0"/>
          <w:sz w:val="28"/>
          <w:szCs w:val="28"/>
        </w:rPr>
        <w:t>工程</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_Toc12364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90</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7749D52B">
      <w:pPr>
        <w:pStyle w:val="19"/>
        <w:tabs>
          <w:tab w:val="right" w:leader="dot" w:pos="8306"/>
        </w:tabs>
        <w:rPr>
          <w:rFonts w:hint="eastAsia" w:ascii="黑体" w:hAnsi="黑体" w:eastAsia="黑体" w:cs="黑体"/>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_Toc22467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lang w:val="en-US" w:eastAsia="zh-CN"/>
        </w:rPr>
        <w:t>七</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lang w:val="en-US" w:eastAsia="zh-CN"/>
        </w:rPr>
        <w:t>工业平台提升工程</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_Toc22467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92</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19FFC40D">
      <w:pPr>
        <w:pStyle w:val="17"/>
        <w:tabs>
          <w:tab w:val="right" w:leader="dot" w:pos="8306"/>
        </w:tabs>
        <w:rPr>
          <w:rFonts w:hint="eastAsia" w:ascii="黑体" w:hAnsi="黑体" w:eastAsia="黑体" w:cs="黑体"/>
          <w:sz w:val="28"/>
          <w:szCs w:val="28"/>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HYPERLINK \l _Toc1335 </w:instrText>
      </w:r>
      <w:r>
        <w:rPr>
          <w:rFonts w:hint="eastAsia" w:ascii="黑体" w:hAnsi="黑体" w:eastAsia="黑体" w:cs="黑体"/>
          <w:sz w:val="28"/>
          <w:szCs w:val="28"/>
        </w:rPr>
        <w:fldChar w:fldCharType="separate"/>
      </w:r>
      <w:r>
        <w:rPr>
          <w:rFonts w:hint="eastAsia" w:ascii="黑体" w:hAnsi="黑体" w:eastAsia="黑体" w:cs="黑体"/>
          <w:sz w:val="28"/>
          <w:szCs w:val="28"/>
        </w:rPr>
        <w:t>六、保障措施</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_Toc1335 \h </w:instrText>
      </w:r>
      <w:r>
        <w:rPr>
          <w:rFonts w:hint="eastAsia" w:ascii="黑体" w:hAnsi="黑体" w:eastAsia="黑体" w:cs="黑体"/>
          <w:sz w:val="28"/>
          <w:szCs w:val="28"/>
        </w:rPr>
        <w:fldChar w:fldCharType="separate"/>
      </w:r>
      <w:r>
        <w:rPr>
          <w:rFonts w:hint="eastAsia" w:ascii="黑体" w:hAnsi="黑体" w:eastAsia="黑体" w:cs="黑体"/>
          <w:sz w:val="28"/>
          <w:szCs w:val="28"/>
        </w:rPr>
        <w:t>97</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p>
    <w:p w14:paraId="41AABF59">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_Toc7619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（一）加强组织领导</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_Toc7619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97</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0F9E9A98">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_Toc3096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（二）强化要素保障</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_Toc3096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97</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7B2941C8">
      <w:pPr>
        <w:pStyle w:val="19"/>
        <w:tabs>
          <w:tab w:val="right" w:leader="dot" w:pos="8306"/>
        </w:tabs>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_Toc2329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（三）健全机制体制</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_Toc2329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98</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001DB7A0">
      <w:pPr>
        <w:pStyle w:val="19"/>
        <w:tabs>
          <w:tab w:val="right" w:leader="dot" w:pos="8306"/>
        </w:tabs>
        <w:rPr>
          <w:rFonts w:hint="eastAsia" w:ascii="黑体" w:hAnsi="黑体" w:eastAsia="黑体" w:cs="黑体"/>
          <w:sz w:val="28"/>
          <w:szCs w:val="28"/>
        </w:rPr>
      </w:pP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HYPERLINK \l _Toc10827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（四）优化发展环境</w:t>
      </w:r>
      <w:r>
        <w:rPr>
          <w:rFonts w:hint="eastAsia" w:ascii="楷体_GB2312" w:hAnsi="楷体_GB2312" w:eastAsia="楷体_GB2312" w:cs="楷体_GB2312"/>
          <w:b w:val="0"/>
          <w:bCs w:val="0"/>
          <w:sz w:val="28"/>
          <w:szCs w:val="28"/>
        </w:rPr>
        <w:tab/>
      </w:r>
      <w:r>
        <w:rPr>
          <w:rFonts w:hint="eastAsia" w:ascii="楷体_GB2312" w:hAnsi="楷体_GB2312" w:eastAsia="楷体_GB2312" w:cs="楷体_GB2312"/>
          <w:b w:val="0"/>
          <w:bCs w:val="0"/>
          <w:sz w:val="28"/>
          <w:szCs w:val="28"/>
        </w:rPr>
        <w:fldChar w:fldCharType="begin"/>
      </w:r>
      <w:r>
        <w:rPr>
          <w:rFonts w:hint="eastAsia" w:ascii="楷体_GB2312" w:hAnsi="楷体_GB2312" w:eastAsia="楷体_GB2312" w:cs="楷体_GB2312"/>
          <w:b w:val="0"/>
          <w:bCs w:val="0"/>
          <w:sz w:val="28"/>
          <w:szCs w:val="28"/>
        </w:rPr>
        <w:instrText xml:space="preserve"> PAGEREF _Toc10827 \h </w:instrText>
      </w:r>
      <w:r>
        <w:rPr>
          <w:rFonts w:hint="eastAsia" w:ascii="楷体_GB2312" w:hAnsi="楷体_GB2312" w:eastAsia="楷体_GB2312" w:cs="楷体_GB2312"/>
          <w:b w:val="0"/>
          <w:bCs w:val="0"/>
          <w:sz w:val="28"/>
          <w:szCs w:val="28"/>
        </w:rPr>
        <w:fldChar w:fldCharType="separate"/>
      </w:r>
      <w:r>
        <w:rPr>
          <w:rFonts w:hint="eastAsia" w:ascii="楷体_GB2312" w:hAnsi="楷体_GB2312" w:eastAsia="楷体_GB2312" w:cs="楷体_GB2312"/>
          <w:b w:val="0"/>
          <w:bCs w:val="0"/>
          <w:sz w:val="28"/>
          <w:szCs w:val="28"/>
        </w:rPr>
        <w:t>100</w:t>
      </w:r>
      <w:r>
        <w:rPr>
          <w:rFonts w:hint="eastAsia" w:ascii="楷体_GB2312" w:hAnsi="楷体_GB2312" w:eastAsia="楷体_GB2312" w:cs="楷体_GB2312"/>
          <w:b w:val="0"/>
          <w:bCs w:val="0"/>
          <w:sz w:val="28"/>
          <w:szCs w:val="28"/>
        </w:rPr>
        <w:fldChar w:fldCharType="end"/>
      </w:r>
      <w:r>
        <w:rPr>
          <w:rFonts w:hint="eastAsia" w:ascii="楷体_GB2312" w:hAnsi="楷体_GB2312" w:eastAsia="楷体_GB2312" w:cs="楷体_GB2312"/>
          <w:b w:val="0"/>
          <w:bCs w:val="0"/>
          <w:sz w:val="28"/>
          <w:szCs w:val="28"/>
        </w:rPr>
        <w:fldChar w:fldCharType="end"/>
      </w:r>
    </w:p>
    <w:p w14:paraId="0819A179">
      <w:pPr>
        <w:pStyle w:val="17"/>
        <w:tabs>
          <w:tab w:val="right" w:leader="dot" w:pos="8306"/>
        </w:tabs>
        <w:rPr>
          <w:rFonts w:hint="eastAsia" w:ascii="黑体" w:hAnsi="黑体" w:eastAsia="黑体" w:cs="黑体"/>
          <w:sz w:val="28"/>
          <w:szCs w:val="28"/>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HYPERLINK \l _Toc28037 </w:instrText>
      </w:r>
      <w:r>
        <w:rPr>
          <w:rFonts w:hint="eastAsia" w:ascii="黑体" w:hAnsi="黑体" w:eastAsia="黑体" w:cs="黑体"/>
          <w:sz w:val="28"/>
          <w:szCs w:val="28"/>
        </w:rPr>
        <w:fldChar w:fldCharType="separate"/>
      </w:r>
      <w:r>
        <w:rPr>
          <w:rFonts w:hint="eastAsia" w:ascii="黑体" w:hAnsi="黑体" w:eastAsia="黑体" w:cs="黑体"/>
          <w:sz w:val="28"/>
          <w:szCs w:val="28"/>
        </w:rPr>
        <w:t>附件一：</w:t>
      </w:r>
      <w:r>
        <w:rPr>
          <w:rFonts w:hint="eastAsia" w:ascii="黑体" w:hAnsi="黑体" w:eastAsia="黑体" w:cs="黑体"/>
          <w:kern w:val="2"/>
          <w:sz w:val="28"/>
          <w:szCs w:val="28"/>
          <w:lang w:val="en-US" w:eastAsia="en-US" w:bidi="ar-SA"/>
        </w:rPr>
        <w:t>阜阳市“十四五”工业发展</w:t>
      </w:r>
      <w:r>
        <w:rPr>
          <w:rFonts w:hint="eastAsia" w:ascii="黑体" w:hAnsi="黑体" w:eastAsia="黑体" w:cs="黑体"/>
          <w:sz w:val="28"/>
          <w:szCs w:val="28"/>
        </w:rPr>
        <w:t>规划编制依据</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_Toc28037 \h </w:instrText>
      </w:r>
      <w:r>
        <w:rPr>
          <w:rFonts w:hint="eastAsia" w:ascii="黑体" w:hAnsi="黑体" w:eastAsia="黑体" w:cs="黑体"/>
          <w:sz w:val="28"/>
          <w:szCs w:val="28"/>
        </w:rPr>
        <w:fldChar w:fldCharType="separate"/>
      </w:r>
      <w:r>
        <w:rPr>
          <w:rFonts w:hint="eastAsia" w:ascii="黑体" w:hAnsi="黑体" w:eastAsia="黑体" w:cs="黑体"/>
          <w:sz w:val="28"/>
          <w:szCs w:val="28"/>
        </w:rPr>
        <w:t>102</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p>
    <w:p w14:paraId="14BC70BE">
      <w:pPr>
        <w:pStyle w:val="17"/>
        <w:tabs>
          <w:tab w:val="right" w:leader="dot" w:pos="8306"/>
        </w:tabs>
        <w:rPr>
          <w:rFonts w:hint="eastAsia" w:ascii="黑体" w:hAnsi="黑体" w:eastAsia="黑体" w:cs="黑体"/>
          <w:sz w:val="28"/>
          <w:szCs w:val="28"/>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HYPERLINK \l _Toc8469 </w:instrText>
      </w:r>
      <w:r>
        <w:rPr>
          <w:rFonts w:hint="eastAsia" w:ascii="黑体" w:hAnsi="黑体" w:eastAsia="黑体" w:cs="黑体"/>
          <w:sz w:val="28"/>
          <w:szCs w:val="28"/>
        </w:rPr>
        <w:fldChar w:fldCharType="separate"/>
      </w:r>
      <w:r>
        <w:rPr>
          <w:rFonts w:hint="eastAsia" w:ascii="黑体" w:hAnsi="黑体" w:eastAsia="黑体" w:cs="黑体"/>
          <w:sz w:val="28"/>
          <w:szCs w:val="28"/>
        </w:rPr>
        <w:t>附件二：</w:t>
      </w:r>
      <w:r>
        <w:rPr>
          <w:rFonts w:hint="eastAsia" w:ascii="黑体" w:hAnsi="黑体" w:eastAsia="黑体" w:cs="黑体"/>
          <w:sz w:val="28"/>
          <w:szCs w:val="28"/>
          <w:lang w:eastAsia="zh-CN"/>
        </w:rPr>
        <w:t>阜阳市</w:t>
      </w:r>
      <w:r>
        <w:rPr>
          <w:rFonts w:hint="eastAsia" w:ascii="黑体" w:hAnsi="黑体" w:eastAsia="黑体" w:cs="黑体"/>
          <w:sz w:val="28"/>
          <w:szCs w:val="28"/>
        </w:rPr>
        <w:t>“十四五”</w:t>
      </w:r>
      <w:r>
        <w:rPr>
          <w:rFonts w:hint="eastAsia" w:ascii="黑体" w:hAnsi="黑体" w:eastAsia="黑体" w:cs="黑体"/>
          <w:sz w:val="28"/>
          <w:szCs w:val="28"/>
          <w:lang w:eastAsia="zh-CN"/>
        </w:rPr>
        <w:t>工业发展</w:t>
      </w:r>
      <w:r>
        <w:rPr>
          <w:rFonts w:hint="eastAsia" w:ascii="黑体" w:hAnsi="黑体" w:eastAsia="黑体" w:cs="黑体"/>
          <w:sz w:val="28"/>
          <w:szCs w:val="28"/>
        </w:rPr>
        <w:t>重点项目表</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_Toc8469 \h </w:instrText>
      </w:r>
      <w:r>
        <w:rPr>
          <w:rFonts w:hint="eastAsia" w:ascii="黑体" w:hAnsi="黑体" w:eastAsia="黑体" w:cs="黑体"/>
          <w:sz w:val="28"/>
          <w:szCs w:val="28"/>
        </w:rPr>
        <w:fldChar w:fldCharType="separate"/>
      </w:r>
      <w:r>
        <w:rPr>
          <w:rFonts w:hint="eastAsia" w:ascii="黑体" w:hAnsi="黑体" w:eastAsia="黑体" w:cs="黑体"/>
          <w:sz w:val="28"/>
          <w:szCs w:val="28"/>
        </w:rPr>
        <w:t>104</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p>
    <w:p w14:paraId="1BA59EBF">
      <w:pPr>
        <w:pStyle w:val="17"/>
        <w:tabs>
          <w:tab w:val="right" w:leader="dot" w:pos="8306"/>
        </w:tabs>
        <w:rPr>
          <w:rFonts w:hint="eastAsia" w:eastAsia="黑体"/>
          <w:lang w:eastAsia="zh-CN"/>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HYPERLINK \l _Toc31130 </w:instrText>
      </w:r>
      <w:r>
        <w:rPr>
          <w:rFonts w:hint="eastAsia" w:ascii="黑体" w:hAnsi="黑体" w:eastAsia="黑体" w:cs="黑体"/>
          <w:sz w:val="28"/>
          <w:szCs w:val="28"/>
        </w:rPr>
        <w:fldChar w:fldCharType="separate"/>
      </w:r>
      <w:r>
        <w:rPr>
          <w:rFonts w:hint="eastAsia" w:ascii="黑体" w:hAnsi="黑体" w:eastAsia="黑体" w:cs="黑体"/>
          <w:kern w:val="2"/>
          <w:sz w:val="28"/>
          <w:szCs w:val="28"/>
          <w:lang w:val="en-US" w:eastAsia="zh-CN" w:bidi="ar-SA"/>
        </w:rPr>
        <w:t>附件三：</w:t>
      </w:r>
      <w:r>
        <w:rPr>
          <w:rFonts w:hint="eastAsia" w:ascii="黑体" w:hAnsi="黑体" w:eastAsia="黑体" w:cs="黑体"/>
          <w:kern w:val="2"/>
          <w:sz w:val="28"/>
          <w:szCs w:val="28"/>
          <w:lang w:val="en-US" w:eastAsia="en-US" w:bidi="ar-SA"/>
        </w:rPr>
        <w:t>阜阳市“十四五”工业发展规划</w:t>
      </w:r>
      <w:r>
        <w:rPr>
          <w:rFonts w:hint="eastAsia" w:ascii="黑体" w:hAnsi="黑体" w:eastAsia="黑体" w:cs="黑体"/>
          <w:kern w:val="2"/>
          <w:sz w:val="28"/>
          <w:szCs w:val="28"/>
          <w:lang w:val="en-US" w:eastAsia="zh-CN" w:bidi="ar-SA"/>
        </w:rPr>
        <w:t>环境影响分析说明</w:t>
      </w:r>
      <w:r>
        <w:rPr>
          <w:rFonts w:hint="eastAsia" w:ascii="黑体" w:hAnsi="黑体" w:eastAsia="黑体" w:cs="黑体"/>
          <w:sz w:val="28"/>
          <w:szCs w:val="28"/>
        </w:rPr>
        <w:tab/>
      </w: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 PAGEREF _Toc31130 \h </w:instrText>
      </w:r>
      <w:r>
        <w:rPr>
          <w:rFonts w:hint="eastAsia" w:ascii="黑体" w:hAnsi="黑体" w:eastAsia="黑体" w:cs="黑体"/>
          <w:sz w:val="28"/>
          <w:szCs w:val="28"/>
        </w:rPr>
        <w:fldChar w:fldCharType="separate"/>
      </w:r>
      <w:r>
        <w:rPr>
          <w:rFonts w:hint="eastAsia" w:ascii="黑体" w:hAnsi="黑体" w:eastAsia="黑体" w:cs="黑体"/>
          <w:sz w:val="28"/>
          <w:szCs w:val="28"/>
        </w:rPr>
        <w:t>136</w:t>
      </w:r>
      <w:r>
        <w:rPr>
          <w:rFonts w:hint="eastAsia" w:ascii="黑体" w:hAnsi="黑体" w:eastAsia="黑体" w:cs="黑体"/>
          <w:sz w:val="28"/>
          <w:szCs w:val="28"/>
        </w:rPr>
        <w:fldChar w:fldCharType="end"/>
      </w:r>
      <w:r>
        <w:rPr>
          <w:rFonts w:hint="eastAsia" w:ascii="黑体" w:hAnsi="黑体" w:eastAsia="黑体" w:cs="黑体"/>
          <w:sz w:val="28"/>
          <w:szCs w:val="28"/>
        </w:rPr>
        <w:fldChar w:fldCharType="end"/>
      </w:r>
    </w:p>
    <w:p w14:paraId="0B5CB8B8">
      <w:pPr>
        <w:pStyle w:val="14"/>
        <w:ind w:firstLine="560"/>
        <w:rPr>
          <w:rFonts w:ascii="方正小标宋简体" w:hAnsi="宋体" w:eastAsia="方正小标宋简体"/>
          <w:b/>
          <w:sz w:val="44"/>
          <w:szCs w:val="44"/>
        </w:rPr>
      </w:pPr>
      <w:r>
        <w:rPr>
          <w:rFonts w:hint="eastAsia" w:ascii="楷体_GB2312" w:hAnsi="楷体_GB2312" w:eastAsia="楷体_GB2312" w:cs="楷体_GB2312"/>
          <w:szCs w:val="28"/>
        </w:rPr>
        <w:fldChar w:fldCharType="end"/>
      </w:r>
    </w:p>
    <w:p w14:paraId="4FAD43EE">
      <w:p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25451D97">
      <w:pPr>
        <w:keepNext/>
        <w:keepLines/>
        <w:spacing w:line="600" w:lineRule="exact"/>
        <w:jc w:val="center"/>
        <w:outlineLvl w:val="0"/>
        <w:rPr>
          <w:rFonts w:ascii="黑体" w:hAnsi="黑体" w:eastAsia="黑体" w:cs="黑体"/>
          <w:sz w:val="44"/>
          <w:szCs w:val="44"/>
        </w:rPr>
      </w:pPr>
      <w:bookmarkStart w:id="11" w:name="_Toc21484"/>
      <w:bookmarkStart w:id="12" w:name="_Toc29805"/>
      <w:bookmarkStart w:id="13" w:name="_Toc28779"/>
      <w:bookmarkStart w:id="14" w:name="_Toc1661"/>
      <w:bookmarkStart w:id="15" w:name="_Toc23846"/>
      <w:bookmarkStart w:id="16" w:name="_Toc11571"/>
      <w:bookmarkStart w:id="17" w:name="_Toc27661"/>
      <w:bookmarkStart w:id="18" w:name="_Toc28841"/>
      <w:bookmarkStart w:id="19" w:name="_Toc10561"/>
      <w:bookmarkStart w:id="20" w:name="_Toc681"/>
      <w:r>
        <w:rPr>
          <w:rFonts w:hint="eastAsia" w:ascii="黑体" w:hAnsi="黑体" w:eastAsia="黑体" w:cs="黑体"/>
          <w:sz w:val="44"/>
          <w:szCs w:val="44"/>
        </w:rPr>
        <w:t>前  言</w:t>
      </w:r>
      <w:bookmarkEnd w:id="11"/>
      <w:bookmarkEnd w:id="12"/>
      <w:bookmarkEnd w:id="13"/>
      <w:bookmarkEnd w:id="14"/>
      <w:bookmarkEnd w:id="15"/>
      <w:bookmarkEnd w:id="16"/>
      <w:bookmarkEnd w:id="17"/>
      <w:bookmarkEnd w:id="18"/>
      <w:bookmarkEnd w:id="19"/>
      <w:bookmarkEnd w:id="20"/>
    </w:p>
    <w:p w14:paraId="17B4BCC4">
      <w:pPr>
        <w:spacing w:line="600" w:lineRule="exact"/>
        <w:ind w:firstLine="643" w:firstLineChars="200"/>
        <w:outlineLvl w:val="1"/>
        <w:rPr>
          <w:rFonts w:ascii="楷体" w:hAnsi="楷体" w:eastAsia="楷体" w:cs="楷体"/>
          <w:b/>
          <w:kern w:val="0"/>
          <w:sz w:val="32"/>
          <w:szCs w:val="32"/>
        </w:rPr>
      </w:pPr>
      <w:bookmarkStart w:id="21" w:name="_Toc29457"/>
      <w:bookmarkStart w:id="22" w:name="_Toc14279"/>
      <w:bookmarkStart w:id="23" w:name="_Toc23115"/>
      <w:bookmarkStart w:id="24" w:name="_Toc17403"/>
      <w:bookmarkStart w:id="25" w:name="_Toc31622"/>
      <w:bookmarkStart w:id="26" w:name="_Toc12953"/>
      <w:bookmarkStart w:id="27" w:name="_Toc2129"/>
      <w:bookmarkStart w:id="28" w:name="_Toc31781"/>
      <w:bookmarkStart w:id="29" w:name="_Toc18156"/>
      <w:bookmarkStart w:id="30" w:name="_Toc4155"/>
      <w:bookmarkStart w:id="31" w:name="_Toc30600"/>
      <w:bookmarkStart w:id="32" w:name="_Toc31735"/>
      <w:bookmarkStart w:id="33" w:name="_Toc23086"/>
      <w:r>
        <w:rPr>
          <w:rFonts w:hint="eastAsia" w:ascii="楷体" w:hAnsi="楷体" w:eastAsia="楷体" w:cs="楷体"/>
          <w:b/>
          <w:kern w:val="0"/>
          <w:sz w:val="32"/>
          <w:szCs w:val="32"/>
        </w:rPr>
        <w:t>（一）背景意义</w:t>
      </w:r>
      <w:bookmarkEnd w:id="21"/>
      <w:bookmarkEnd w:id="22"/>
      <w:bookmarkEnd w:id="23"/>
      <w:bookmarkEnd w:id="24"/>
      <w:bookmarkEnd w:id="25"/>
      <w:bookmarkEnd w:id="26"/>
      <w:bookmarkEnd w:id="27"/>
      <w:bookmarkEnd w:id="28"/>
      <w:bookmarkEnd w:id="29"/>
      <w:bookmarkEnd w:id="30"/>
      <w:bookmarkEnd w:id="31"/>
      <w:bookmarkEnd w:id="32"/>
      <w:bookmarkEnd w:id="33"/>
    </w:p>
    <w:p w14:paraId="0649D95D">
      <w:pPr>
        <w:spacing w:line="60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十四五”时期是我国全面建成小康社会、实现第一个百年奋斗目标之后，乘势而上开启全面建设社会主义现代化国家新征程、向第二个百年奋斗目标进军的第一个五年计划实施期，也是开启社会主义现代化强国建设新征程的重要机遇期。十九届五中全会指出，“十四五”时期，要以推动高质量发展为主题，加快建设现代化经济体系，加快构建以国内大循环为主体、国内国际双循环相互促进的新发展格局，为全面建设社会主义现代化国家开好局、起好步。要保持制造业比重基本稳定，巩固壮大实体经济发展根基，推动互联网、大数据、人工智能等同各产业深度融合，推动先进制造业集群发展。</w:t>
      </w:r>
    </w:p>
    <w:p w14:paraId="0B10EB78">
      <w:pPr>
        <w:spacing w:line="600" w:lineRule="exact"/>
        <w:ind w:firstLine="640" w:firstLineChars="200"/>
        <w:rPr>
          <w:rFonts w:ascii="仿宋_GB2312" w:hAnsi="仿宋_GB2312" w:eastAsia="仿宋_GB2312" w:cs="仿宋_GB2312"/>
          <w:bCs/>
          <w:sz w:val="32"/>
          <w:szCs w:val="32"/>
        </w:rPr>
      </w:pPr>
      <w:bookmarkStart w:id="34" w:name="_Toc3278"/>
      <w:bookmarkStart w:id="35" w:name="_Toc553"/>
      <w:bookmarkStart w:id="36" w:name="_Toc13344"/>
      <w:r>
        <w:rPr>
          <w:rFonts w:hint="eastAsia" w:ascii="仿宋_GB2312" w:hAnsi="仿宋_GB2312" w:eastAsia="仿宋_GB2312" w:cs="仿宋_GB2312"/>
          <w:bCs/>
          <w:sz w:val="32"/>
          <w:szCs w:val="32"/>
        </w:rPr>
        <w:t>工业是增强城市内生动力、推动经济发展、保障人民美好生活、推动社会进步的重要力量。我市</w:t>
      </w:r>
      <w:r>
        <w:rPr>
          <w:rFonts w:hint="eastAsia" w:ascii="仿宋_GB2312" w:hAnsi="仿宋_GB2312" w:eastAsia="仿宋_GB2312" w:cs="仿宋_GB2312"/>
          <w:bCs/>
          <w:sz w:val="32"/>
          <w:szCs w:val="32"/>
          <w:lang w:eastAsia="zh-CN"/>
        </w:rPr>
        <w:t>作为长三角和中原城市群“双桥头堡”，“十四五”时期</w:t>
      </w:r>
      <w:r>
        <w:rPr>
          <w:rFonts w:hint="eastAsia" w:ascii="仿宋_GB2312" w:hAnsi="仿宋_GB2312" w:eastAsia="仿宋_GB2312" w:cs="仿宋_GB2312"/>
          <w:bCs/>
          <w:sz w:val="32"/>
          <w:szCs w:val="32"/>
        </w:rPr>
        <w:t>必须</w:t>
      </w:r>
      <w:r>
        <w:rPr>
          <w:rFonts w:hint="eastAsia" w:ascii="仿宋_GB2312" w:hAnsi="仿宋_GB2312" w:eastAsia="仿宋_GB2312" w:cs="仿宋_GB2312"/>
          <w:bCs/>
          <w:sz w:val="32"/>
          <w:szCs w:val="32"/>
          <w:lang w:eastAsia="zh-CN"/>
        </w:rPr>
        <w:t>充分发挥区位、交通、政策、农业、人口五大发展优势，</w:t>
      </w:r>
      <w:r>
        <w:rPr>
          <w:rFonts w:hint="eastAsia" w:ascii="仿宋_GB2312" w:hAnsi="仿宋_GB2312" w:eastAsia="仿宋_GB2312" w:cs="仿宋_GB2312"/>
          <w:bCs/>
          <w:sz w:val="32"/>
          <w:szCs w:val="32"/>
        </w:rPr>
        <w:t>紧抓“融入长三角 高铁全覆盖”</w:t>
      </w:r>
      <w:r>
        <w:rPr>
          <w:rFonts w:hint="eastAsia" w:ascii="仿宋_GB2312" w:hAnsi="仿宋_GB2312" w:eastAsia="仿宋_GB2312" w:cs="仿宋_GB2312"/>
          <w:bCs/>
          <w:sz w:val="32"/>
          <w:szCs w:val="32"/>
          <w:lang w:eastAsia="zh-CN"/>
        </w:rPr>
        <w:t>和皖北承接产业转移集聚区建设</w:t>
      </w:r>
      <w:r>
        <w:rPr>
          <w:rFonts w:hint="eastAsia" w:ascii="仿宋_GB2312" w:hAnsi="仿宋_GB2312" w:eastAsia="仿宋_GB2312" w:cs="仿宋_GB2312"/>
          <w:bCs/>
          <w:sz w:val="32"/>
          <w:szCs w:val="32"/>
        </w:rPr>
        <w:t>机遇，推进</w:t>
      </w:r>
      <w:r>
        <w:rPr>
          <w:rFonts w:hint="eastAsia" w:ascii="仿宋_GB2312" w:hAnsi="仿宋_GB2312" w:eastAsia="仿宋_GB2312" w:cs="仿宋_GB2312"/>
          <w:bCs/>
          <w:sz w:val="32"/>
          <w:szCs w:val="32"/>
          <w:lang w:val="en-US" w:eastAsia="zh-CN"/>
        </w:rPr>
        <w:t>制造</w:t>
      </w:r>
      <w:r>
        <w:rPr>
          <w:rFonts w:hint="eastAsia" w:ascii="仿宋_GB2312" w:hAnsi="仿宋_GB2312" w:eastAsia="仿宋_GB2312" w:cs="仿宋_GB2312"/>
          <w:bCs/>
          <w:sz w:val="32"/>
          <w:szCs w:val="32"/>
        </w:rPr>
        <w:t>强市战略，着力提升产业基础能力和产业链现代化水平，积极参与产业分工协作，</w:t>
      </w:r>
      <w:r>
        <w:rPr>
          <w:rFonts w:hint="eastAsia" w:ascii="仿宋_GB2312" w:hAnsi="仿宋_GB2312" w:eastAsia="仿宋_GB2312" w:cs="仿宋_GB2312"/>
          <w:bCs/>
          <w:sz w:val="32"/>
          <w:szCs w:val="32"/>
          <w:lang w:eastAsia="zh-CN"/>
        </w:rPr>
        <w:t>高水平建设皖北承接产业转移集聚区</w:t>
      </w:r>
      <w:r>
        <w:rPr>
          <w:rFonts w:hint="eastAsia" w:ascii="仿宋_GB2312" w:hAnsi="仿宋_GB2312" w:eastAsia="仿宋_GB2312" w:cs="仿宋_GB2312"/>
          <w:bCs/>
          <w:sz w:val="32"/>
          <w:szCs w:val="32"/>
        </w:rPr>
        <w:t>。本规划主要阐明“十四五”时期，我市工业发展的指导思想、基本原则、发展目标和重点任务等，作为未来五年阜阳工业发展的行动纲领。</w:t>
      </w:r>
    </w:p>
    <w:p w14:paraId="28321717">
      <w:pPr>
        <w:spacing w:line="600" w:lineRule="exact"/>
        <w:ind w:firstLine="643" w:firstLineChars="200"/>
        <w:outlineLvl w:val="1"/>
        <w:rPr>
          <w:rFonts w:ascii="楷体" w:hAnsi="楷体" w:eastAsia="楷体" w:cs="楷体"/>
          <w:b/>
          <w:kern w:val="0"/>
          <w:sz w:val="32"/>
          <w:szCs w:val="32"/>
        </w:rPr>
      </w:pPr>
      <w:bookmarkStart w:id="37" w:name="_Toc3034"/>
      <w:bookmarkStart w:id="38" w:name="_Toc8783"/>
      <w:bookmarkStart w:id="39" w:name="_Toc28390"/>
      <w:bookmarkStart w:id="40" w:name="_Toc8239"/>
      <w:bookmarkStart w:id="41" w:name="_Toc12701"/>
      <w:bookmarkStart w:id="42" w:name="_Toc3470"/>
      <w:bookmarkStart w:id="43" w:name="_Toc18608"/>
      <w:bookmarkStart w:id="44" w:name="_Toc28329"/>
      <w:bookmarkStart w:id="45" w:name="_Toc22642"/>
      <w:bookmarkStart w:id="46" w:name="_Toc32742"/>
      <w:r>
        <w:rPr>
          <w:rFonts w:hint="eastAsia" w:ascii="楷体" w:hAnsi="楷体" w:eastAsia="楷体" w:cs="楷体"/>
          <w:b/>
          <w:kern w:val="0"/>
          <w:sz w:val="32"/>
          <w:szCs w:val="32"/>
        </w:rPr>
        <w:t>（二）规划</w:t>
      </w:r>
      <w:bookmarkEnd w:id="34"/>
      <w:bookmarkEnd w:id="35"/>
      <w:r>
        <w:rPr>
          <w:rFonts w:hint="eastAsia" w:ascii="楷体" w:hAnsi="楷体" w:eastAsia="楷体" w:cs="楷体"/>
          <w:b/>
          <w:kern w:val="0"/>
          <w:sz w:val="32"/>
          <w:szCs w:val="32"/>
        </w:rPr>
        <w:t>条件</w:t>
      </w:r>
      <w:bookmarkEnd w:id="36"/>
      <w:bookmarkEnd w:id="37"/>
      <w:bookmarkEnd w:id="38"/>
      <w:bookmarkEnd w:id="39"/>
      <w:bookmarkEnd w:id="40"/>
      <w:bookmarkEnd w:id="41"/>
      <w:bookmarkEnd w:id="42"/>
      <w:bookmarkEnd w:id="43"/>
      <w:bookmarkEnd w:id="44"/>
      <w:bookmarkEnd w:id="45"/>
      <w:bookmarkEnd w:id="46"/>
    </w:p>
    <w:p w14:paraId="06C43175">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仿宋_GB2312" w:hAnsi="仿宋_GB2312" w:eastAsia="仿宋_GB2312" w:cs="仿宋_GB2312"/>
          <w:bCs/>
          <w:sz w:val="32"/>
          <w:szCs w:val="32"/>
        </w:rPr>
      </w:pPr>
      <w:r>
        <w:rPr>
          <w:rFonts w:hint="eastAsia" w:ascii="仿宋_GB2312" w:hAnsi="仿宋_GB2312" w:eastAsia="仿宋_GB2312" w:cs="仿宋_GB2312"/>
          <w:b/>
          <w:bCs w:val="0"/>
          <w:sz w:val="32"/>
          <w:szCs w:val="32"/>
        </w:rPr>
        <w:t>规划范围</w:t>
      </w:r>
      <w:r>
        <w:rPr>
          <w:rFonts w:hint="eastAsia" w:ascii="仿宋_GB2312" w:hAnsi="仿宋_GB2312" w:eastAsia="仿宋_GB2312" w:cs="仿宋_GB2312"/>
          <w:b/>
          <w:bCs w:val="0"/>
          <w:sz w:val="32"/>
          <w:szCs w:val="32"/>
          <w:lang w:eastAsia="zh-CN"/>
        </w:rPr>
        <w:t>。</w:t>
      </w:r>
      <w:r>
        <w:rPr>
          <w:rFonts w:hint="eastAsia" w:ascii="仿宋_GB2312" w:hAnsi="仿宋_GB2312" w:eastAsia="仿宋_GB2312" w:cs="仿宋_GB2312"/>
          <w:bCs/>
          <w:sz w:val="32"/>
          <w:szCs w:val="32"/>
        </w:rPr>
        <w:t>包括颍州、颍泉、颍东3个市辖区，临泉、太和、阜南、颍上4个县，界首1个县级市和阜阳经济开发区、阜阳合肥现代产业园2个功能区，规划面积10118平方公里。</w:t>
      </w:r>
    </w:p>
    <w:p w14:paraId="37C5C40E">
      <w:pPr>
        <w:pStyle w:val="23"/>
        <w:spacing w:after="0"/>
        <w:ind w:left="0" w:leftChars="0" w:firstLine="0" w:firstLineChars="0"/>
        <w:jc w:val="center"/>
      </w:pPr>
      <w:r>
        <w:rPr>
          <w:rFonts w:hint="eastAsia"/>
        </w:rPr>
        <w:drawing>
          <wp:inline distT="0" distB="0" distL="114300" distR="114300">
            <wp:extent cx="4723765" cy="3769360"/>
            <wp:effectExtent l="0" t="0" r="635" b="2540"/>
            <wp:docPr id="4" name="图片 4" descr="0007市域城镇体系规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007市域城镇体系规划"/>
                    <pic:cNvPicPr>
                      <a:picLocks noChangeAspect="1"/>
                    </pic:cNvPicPr>
                  </pic:nvPicPr>
                  <pic:blipFill>
                    <a:blip r:embed="rId10"/>
                    <a:stretch>
                      <a:fillRect/>
                    </a:stretch>
                  </pic:blipFill>
                  <pic:spPr>
                    <a:xfrm>
                      <a:off x="0" y="0"/>
                      <a:ext cx="4723765" cy="3769360"/>
                    </a:xfrm>
                    <a:prstGeom prst="rect">
                      <a:avLst/>
                    </a:prstGeom>
                  </pic:spPr>
                </pic:pic>
              </a:graphicData>
            </a:graphic>
          </wp:inline>
        </w:drawing>
      </w:r>
    </w:p>
    <w:p w14:paraId="092A3E60">
      <w:pPr>
        <w:spacing w:line="600" w:lineRule="exact"/>
        <w:ind w:firstLine="482" w:firstLineChars="200"/>
        <w:jc w:val="center"/>
        <w:rPr>
          <w:rFonts w:ascii="仿宋_GB2312" w:hAnsi="仿宋_GB2312" w:eastAsia="仿宋_GB2312" w:cs="仿宋_GB2312"/>
          <w:b/>
          <w:sz w:val="24"/>
        </w:rPr>
      </w:pPr>
      <w:r>
        <w:rPr>
          <w:rFonts w:hint="eastAsia" w:ascii="仿宋_GB2312" w:hAnsi="仿宋_GB2312" w:eastAsia="仿宋_GB2312" w:cs="仿宋_GB2312"/>
          <w:b/>
          <w:sz w:val="24"/>
        </w:rPr>
        <w:t>图1  阜阳市城镇体系</w:t>
      </w:r>
    </w:p>
    <w:p w14:paraId="585D5AA8">
      <w:pPr>
        <w:pStyle w:val="23"/>
        <w:keepNext w:val="0"/>
        <w:keepLines w:val="0"/>
        <w:pageBreakBefore w:val="0"/>
        <w:widowControl w:val="0"/>
        <w:kinsoku/>
        <w:wordWrap/>
        <w:overflowPunct/>
        <w:topLinePunct w:val="0"/>
        <w:autoSpaceDE/>
        <w:autoSpaceDN/>
        <w:bidi w:val="0"/>
        <w:adjustRightInd/>
        <w:snapToGrid/>
        <w:spacing w:after="0" w:line="600" w:lineRule="exact"/>
        <w:ind w:left="0" w:leftChars="0" w:firstLine="643" w:firstLineChars="200"/>
        <w:jc w:val="both"/>
        <w:textAlignment w:val="auto"/>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区位优势。</w:t>
      </w:r>
      <w:r>
        <w:rPr>
          <w:rFonts w:hint="eastAsia" w:ascii="仿宋_GB2312" w:hAnsi="仿宋_GB2312" w:eastAsia="仿宋_GB2312" w:cs="仿宋_GB2312"/>
          <w:bCs/>
          <w:sz w:val="32"/>
          <w:szCs w:val="32"/>
        </w:rPr>
        <w:t>阜阳位于安徽省西北部，华北平原南端。西北毗邻河南省周口市，西与河南省新蔡县相邻，西南与河南省信阳市相接，东北与亳州市毗邻，东与淮南市相连，南与六安市隔淮河相望。</w:t>
      </w:r>
      <w:r>
        <w:rPr>
          <w:rFonts w:hint="eastAsia" w:ascii="仿宋_GB2312" w:hAnsi="仿宋_GB2312" w:eastAsia="仿宋_GB2312" w:cs="仿宋_GB2312"/>
          <w:bCs/>
          <w:kern w:val="2"/>
          <w:sz w:val="32"/>
          <w:szCs w:val="32"/>
          <w:lang w:val="en-US" w:eastAsia="zh-CN" w:bidi="ar-SA"/>
        </w:rPr>
        <w:t>地处南京、武汉、合肥、郑州等大城市“围空区”，承东启西、连接南北，是长三角联动中原城市群桥头堡、中原城市群融入长三角一体化发展桥头堡。</w:t>
      </w:r>
    </w:p>
    <w:p w14:paraId="05CF20DB">
      <w:pPr>
        <w:pStyle w:val="23"/>
        <w:spacing w:after="0"/>
        <w:ind w:left="0" w:leftChars="0" w:firstLine="0" w:firstLineChars="0"/>
        <w:jc w:val="center"/>
      </w:pPr>
      <w:r>
        <w:rPr>
          <w:sz w:val="21"/>
        </w:rPr>
        <mc:AlternateContent>
          <mc:Choice Requires="wps">
            <w:drawing>
              <wp:anchor distT="0" distB="0" distL="114300" distR="114300" simplePos="0" relativeHeight="251662336" behindDoc="0" locked="0" layoutInCell="1" allowOverlap="1">
                <wp:simplePos x="0" y="0"/>
                <wp:positionH relativeFrom="column">
                  <wp:posOffset>299085</wp:posOffset>
                </wp:positionH>
                <wp:positionV relativeFrom="paragraph">
                  <wp:posOffset>-2540</wp:posOffset>
                </wp:positionV>
                <wp:extent cx="4674235" cy="5145405"/>
                <wp:effectExtent l="4445" t="4445" r="7620" b="12700"/>
                <wp:wrapNone/>
                <wp:docPr id="10" name="文本框 10"/>
                <wp:cNvGraphicFramePr/>
                <a:graphic xmlns:a="http://schemas.openxmlformats.org/drawingml/2006/main">
                  <a:graphicData uri="http://schemas.microsoft.com/office/word/2010/wordprocessingShape">
                    <wps:wsp>
                      <wps:cNvSpPr txBox="1"/>
                      <wps:spPr>
                        <a:xfrm>
                          <a:off x="1263650" y="1072515"/>
                          <a:ext cx="4674235" cy="5145405"/>
                        </a:xfrm>
                        <a:prstGeom prst="rect">
                          <a:avLst/>
                        </a:prstGeom>
                        <a:noFill/>
                        <a:ln w="6350">
                          <a:solidFill>
                            <a:schemeClr val="bg2">
                              <a:lumMod val="90000"/>
                            </a:schemeClr>
                          </a:solidFill>
                        </a:ln>
                      </wps:spPr>
                      <wps:style>
                        <a:lnRef idx="0">
                          <a:schemeClr val="accent1"/>
                        </a:lnRef>
                        <a:fillRef idx="0">
                          <a:schemeClr val="accent1"/>
                        </a:fillRef>
                        <a:effectRef idx="0">
                          <a:schemeClr val="accent1"/>
                        </a:effectRef>
                        <a:fontRef idx="minor">
                          <a:schemeClr val="dk1"/>
                        </a:fontRef>
                      </wps:style>
                      <wps:txbx>
                        <w:txbxContent>
                          <w:p w14:paraId="1F533684"/>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55pt;margin-top:-0.2pt;height:405.15pt;width:368.05pt;z-index:251662336;mso-width-relative:page;mso-height-relative:page;" filled="f" stroked="t" coordsize="21600,21600" o:gfxdata="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AV9GrO2AAAAAgBAAAPAAAAAAAAAAEAIAAAACIAAABkcnMvZG93bnJl&#10;di54bWxQSwECFAAUAAAACACHTuJAId+D5m8CAADABAAADgAAAAAAAAABACAAAAAnAQAAZHJzL2Uy&#10;b0RvYy54bWxQSwUGAAAAAAYABgBZAQAACAYAAAAA&#10;">
                <v:fill on="f" focussize="0,0"/>
                <v:stroke weight="0.5pt" color="#D0CECE [2894]" joinstyle="round"/>
                <v:imagedata o:title=""/>
                <o:lock v:ext="edit" aspectratio="f"/>
                <v:textbox>
                  <w:txbxContent>
                    <w:p w14:paraId="1F533684"/>
                  </w:txbxContent>
                </v:textbox>
              </v:shape>
            </w:pict>
          </mc:Fallback>
        </mc:AlternateContent>
      </w:r>
      <w:r>
        <w:drawing>
          <wp:inline distT="0" distB="0" distL="114300" distR="114300">
            <wp:extent cx="4682490" cy="5133975"/>
            <wp:effectExtent l="0" t="0" r="3810" b="952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1"/>
                    <a:stretch>
                      <a:fillRect/>
                    </a:stretch>
                  </pic:blipFill>
                  <pic:spPr>
                    <a:xfrm>
                      <a:off x="0" y="0"/>
                      <a:ext cx="4682490" cy="5133975"/>
                    </a:xfrm>
                    <a:prstGeom prst="rect">
                      <a:avLst/>
                    </a:prstGeom>
                    <a:noFill/>
                    <a:ln>
                      <a:noFill/>
                    </a:ln>
                  </pic:spPr>
                </pic:pic>
              </a:graphicData>
            </a:graphic>
          </wp:inline>
        </w:drawing>
      </w:r>
    </w:p>
    <w:p w14:paraId="38A99EC6">
      <w:pPr>
        <w:spacing w:line="600" w:lineRule="exact"/>
        <w:ind w:firstLine="482" w:firstLineChars="200"/>
        <w:jc w:val="center"/>
        <w:rPr>
          <w:rFonts w:ascii="仿宋_GB2312" w:hAnsi="仿宋_GB2312" w:eastAsia="仿宋_GB2312" w:cs="仿宋_GB2312"/>
          <w:b/>
          <w:sz w:val="24"/>
        </w:rPr>
      </w:pPr>
      <w:r>
        <w:rPr>
          <w:rFonts w:hint="eastAsia" w:ascii="仿宋_GB2312" w:hAnsi="仿宋_GB2312" w:eastAsia="仿宋_GB2312" w:cs="仿宋_GB2312"/>
          <w:b/>
          <w:sz w:val="24"/>
        </w:rPr>
        <w:t>图2  阜阳市区位图</w:t>
      </w:r>
    </w:p>
    <w:p w14:paraId="5B343B13">
      <w:pPr>
        <w:pStyle w:val="23"/>
        <w:spacing w:after="0" w:line="600" w:lineRule="exact"/>
        <w:ind w:left="0" w:leftChars="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交通</w:t>
      </w:r>
      <w:r>
        <w:rPr>
          <w:rFonts w:hint="eastAsia" w:ascii="仿宋_GB2312" w:hAnsi="仿宋_GB2312" w:eastAsia="仿宋_GB2312" w:cs="仿宋_GB2312"/>
          <w:b/>
          <w:sz w:val="32"/>
          <w:szCs w:val="32"/>
          <w:lang w:eastAsia="zh-CN"/>
        </w:rPr>
        <w:t>优势</w:t>
      </w:r>
      <w:r>
        <w:rPr>
          <w:rFonts w:hint="eastAsia" w:ascii="仿宋_GB2312" w:hAnsi="仿宋_GB2312" w:eastAsia="仿宋_GB2312" w:cs="仿宋_GB2312"/>
          <w:b/>
          <w:sz w:val="32"/>
          <w:szCs w:val="32"/>
        </w:rPr>
        <w:t>。</w:t>
      </w:r>
      <w:r>
        <w:rPr>
          <w:rFonts w:hint="eastAsia" w:ascii="仿宋_GB2312" w:hAnsi="仿宋_GB2312" w:eastAsia="仿宋_GB2312" w:cs="仿宋_GB2312"/>
          <w:b w:val="0"/>
          <w:bCs/>
          <w:sz w:val="32"/>
          <w:szCs w:val="32"/>
          <w:lang w:eastAsia="zh-CN"/>
        </w:rPr>
        <w:t>阜阳</w:t>
      </w:r>
      <w:r>
        <w:rPr>
          <w:rFonts w:hint="eastAsia" w:ascii="仿宋_GB2312" w:hAnsi="仿宋_GB2312" w:eastAsia="仿宋_GB2312" w:cs="仿宋_GB2312"/>
          <w:bCs/>
          <w:sz w:val="32"/>
          <w:szCs w:val="32"/>
        </w:rPr>
        <w:t>铁路、公路、航空、水运</w:t>
      </w:r>
      <w:r>
        <w:rPr>
          <w:rFonts w:hint="eastAsia" w:ascii="仿宋_GB2312" w:hAnsi="仿宋_GB2312" w:eastAsia="仿宋_GB2312" w:cs="仿宋_GB2312"/>
          <w:bCs/>
          <w:sz w:val="32"/>
          <w:szCs w:val="32"/>
          <w:lang w:eastAsia="zh-CN"/>
        </w:rPr>
        <w:t>四位一体、</w:t>
      </w:r>
      <w:r>
        <w:rPr>
          <w:rFonts w:hint="eastAsia" w:ascii="仿宋_GB2312" w:hAnsi="仿宋_GB2312" w:eastAsia="仿宋_GB2312" w:cs="仿宋_GB2312"/>
          <w:bCs/>
          <w:sz w:val="32"/>
          <w:szCs w:val="32"/>
        </w:rPr>
        <w:t>相互衔接的立体交通网</w:t>
      </w:r>
      <w:r>
        <w:rPr>
          <w:rFonts w:hint="eastAsia" w:ascii="仿宋_GB2312" w:hAnsi="仿宋_GB2312" w:eastAsia="仿宋_GB2312" w:cs="仿宋_GB2312"/>
          <w:bCs/>
          <w:sz w:val="32"/>
          <w:szCs w:val="32"/>
          <w:lang w:eastAsia="zh-CN"/>
        </w:rPr>
        <w:t>优势明显</w:t>
      </w:r>
      <w:r>
        <w:rPr>
          <w:rFonts w:hint="eastAsia" w:ascii="仿宋_GB2312" w:hAnsi="仿宋_GB2312" w:eastAsia="仿宋_GB2312" w:cs="仿宋_GB2312"/>
          <w:bCs/>
          <w:sz w:val="32"/>
          <w:szCs w:val="32"/>
        </w:rPr>
        <w:t>。</w:t>
      </w:r>
      <w:r>
        <w:rPr>
          <w:rFonts w:hint="eastAsia" w:ascii="仿宋_GB2312" w:hAnsi="仿宋_GB2312" w:eastAsia="仿宋_GB2312" w:cs="仿宋_GB2312"/>
          <w:b/>
          <w:sz w:val="32"/>
          <w:szCs w:val="32"/>
        </w:rPr>
        <w:t>铁路：</w:t>
      </w:r>
      <w:r>
        <w:rPr>
          <w:rFonts w:hint="eastAsia" w:ascii="仿宋_GB2312" w:hAnsi="仿宋_GB2312" w:eastAsia="仿宋_GB2312" w:cs="仿宋_GB2312"/>
          <w:bCs/>
          <w:sz w:val="32"/>
          <w:szCs w:val="32"/>
        </w:rPr>
        <w:t>商阜铁路、濉阜铁路、漯阜铁路、阜淮铁路等6个方向的铁路在境内交汇，“米”字型高铁网络正在加快布局，“十四五”期间，</w:t>
      </w:r>
      <w:r>
        <w:rPr>
          <w:rFonts w:hint="eastAsia" w:ascii="仿宋_GB2312" w:hAnsi="仿宋_GB2312" w:eastAsia="仿宋_GB2312" w:cs="仿宋_GB2312"/>
          <w:bCs/>
          <w:sz w:val="32"/>
          <w:szCs w:val="32"/>
          <w:lang w:eastAsia="zh-CN"/>
        </w:rPr>
        <w:t>阜阳</w:t>
      </w:r>
      <w:r>
        <w:rPr>
          <w:rFonts w:hint="eastAsia" w:ascii="仿宋_GB2312" w:hAnsi="仿宋_GB2312" w:eastAsia="仿宋_GB2312" w:cs="仿宋_GB2312"/>
          <w:bCs/>
          <w:sz w:val="32"/>
          <w:szCs w:val="32"/>
        </w:rPr>
        <w:t>将积极推进京九客专阜阳至黄冈段、南阳至驻马店至阜阳城际铁路、沿淮城际铁路等一批高铁线路开工建设。</w:t>
      </w:r>
      <w:r>
        <w:rPr>
          <w:rFonts w:hint="eastAsia" w:ascii="仿宋_GB2312" w:hAnsi="仿宋_GB2312" w:eastAsia="仿宋_GB2312" w:cs="仿宋_GB2312"/>
          <w:b/>
          <w:sz w:val="32"/>
          <w:szCs w:val="32"/>
        </w:rPr>
        <w:t>公路：</w:t>
      </w:r>
      <w:r>
        <w:rPr>
          <w:rFonts w:hint="eastAsia" w:ascii="仿宋_GB2312" w:hAnsi="仿宋_GB2312" w:eastAsia="仿宋_GB2312" w:cs="仿宋_GB2312"/>
          <w:bCs/>
          <w:sz w:val="32"/>
          <w:szCs w:val="32"/>
        </w:rPr>
        <w:t>境内建成运行的有宁洛高速、济广高速、滁新高速等多条高速公路。“十四五”期间，</w:t>
      </w:r>
      <w:r>
        <w:rPr>
          <w:rFonts w:hint="eastAsia" w:ascii="仿宋_GB2312" w:hAnsi="仿宋_GB2312" w:eastAsia="仿宋_GB2312" w:cs="仿宋_GB2312"/>
          <w:bCs/>
          <w:sz w:val="32"/>
          <w:szCs w:val="32"/>
          <w:lang w:eastAsia="zh-CN"/>
        </w:rPr>
        <w:t>阜阳</w:t>
      </w:r>
      <w:r>
        <w:rPr>
          <w:rFonts w:hint="eastAsia" w:ascii="仿宋_GB2312" w:hAnsi="仿宋_GB2312" w:eastAsia="仿宋_GB2312" w:cs="仿宋_GB2312"/>
          <w:bCs/>
          <w:sz w:val="32"/>
          <w:szCs w:val="32"/>
        </w:rPr>
        <w:t>将协调推进阜阳至淮滨高速公路安徽段、合肥至周口高速公路寿县（保义）至颍上（南照）段、合肥至周口高速公路颍上（南照）至临泉（皖豫省界）段、徐州至淮北至阜阳高速公路阜阳段建设工作。</w:t>
      </w:r>
      <w:r>
        <w:rPr>
          <w:rFonts w:hint="eastAsia" w:ascii="仿宋_GB2312" w:hAnsi="仿宋_GB2312" w:eastAsia="仿宋_GB2312" w:cs="仿宋_GB2312"/>
          <w:b/>
          <w:sz w:val="32"/>
          <w:szCs w:val="32"/>
        </w:rPr>
        <w:t>航空：</w:t>
      </w:r>
      <w:r>
        <w:rPr>
          <w:rFonts w:hint="eastAsia" w:ascii="仿宋_GB2312" w:hAnsi="仿宋_GB2312" w:eastAsia="仿宋_GB2312" w:cs="仿宋_GB2312"/>
          <w:bCs/>
          <w:sz w:val="32"/>
          <w:szCs w:val="32"/>
        </w:rPr>
        <w:t>阜阳机场位于</w:t>
      </w:r>
      <w:r>
        <w:rPr>
          <w:rFonts w:hint="eastAsia" w:ascii="仿宋_GB2312" w:hAnsi="仿宋_GB2312" w:eastAsia="仿宋_GB2312" w:cs="仿宋_GB2312"/>
          <w:bCs/>
          <w:sz w:val="32"/>
          <w:szCs w:val="32"/>
          <w:lang w:eastAsia="zh-CN"/>
        </w:rPr>
        <w:t>市区</w:t>
      </w:r>
      <w:r>
        <w:rPr>
          <w:rFonts w:hint="eastAsia" w:ascii="仿宋_GB2312" w:hAnsi="仿宋_GB2312" w:eastAsia="仿宋_GB2312" w:cs="仿宋_GB2312"/>
          <w:bCs/>
          <w:sz w:val="32"/>
          <w:szCs w:val="32"/>
        </w:rPr>
        <w:t>西南部，距市中心约9公里</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是安徽省最早的三个民用机场之一，</w:t>
      </w:r>
      <w:r>
        <w:rPr>
          <w:rFonts w:hint="eastAsia" w:ascii="仿宋_GB2312" w:hAnsi="仿宋_GB2312" w:eastAsia="仿宋_GB2312" w:cs="仿宋_GB2312"/>
          <w:bCs/>
          <w:color w:val="auto"/>
          <w:sz w:val="32"/>
          <w:szCs w:val="32"/>
          <w:shd w:val="clear" w:color="auto" w:fill="auto"/>
        </w:rPr>
        <w:t>航线总量达到18条，通达北、上、广、深等17座大中城市。</w:t>
      </w:r>
      <w:r>
        <w:rPr>
          <w:rFonts w:hint="eastAsia" w:ascii="仿宋_GB2312" w:hAnsi="仿宋_GB2312" w:eastAsia="仿宋_GB2312" w:cs="仿宋_GB2312"/>
          <w:bCs/>
          <w:sz w:val="32"/>
          <w:szCs w:val="32"/>
        </w:rPr>
        <w:t>“十四五”期间，</w:t>
      </w:r>
      <w:r>
        <w:rPr>
          <w:rFonts w:hint="eastAsia" w:ascii="仿宋_GB2312" w:hAnsi="仿宋_GB2312" w:eastAsia="仿宋_GB2312" w:cs="仿宋_GB2312"/>
          <w:bCs/>
          <w:sz w:val="32"/>
          <w:szCs w:val="32"/>
          <w:lang w:eastAsia="zh-CN"/>
        </w:rPr>
        <w:t>阜阳</w:t>
      </w:r>
      <w:r>
        <w:rPr>
          <w:rFonts w:hint="eastAsia" w:ascii="仿宋_GB2312" w:hAnsi="仿宋_GB2312" w:eastAsia="仿宋_GB2312" w:cs="仿宋_GB2312"/>
          <w:bCs/>
          <w:sz w:val="32"/>
          <w:szCs w:val="32"/>
        </w:rPr>
        <w:t>将加快推进阜阳机场扩建工程</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sz w:val="32"/>
          <w:szCs w:val="32"/>
          <w:lang w:val="en-US" w:eastAsia="zh-CN"/>
        </w:rPr>
        <w:t>加快建设界首等通用机场</w:t>
      </w:r>
      <w:r>
        <w:rPr>
          <w:rFonts w:hint="eastAsia" w:ascii="仿宋_GB2312" w:hAnsi="仿宋_GB2312" w:eastAsia="仿宋_GB2312" w:cs="仿宋_GB2312"/>
          <w:bCs/>
          <w:sz w:val="32"/>
          <w:szCs w:val="32"/>
        </w:rPr>
        <w:t>。</w:t>
      </w:r>
      <w:r>
        <w:rPr>
          <w:rFonts w:hint="eastAsia" w:ascii="仿宋_GB2312" w:hAnsi="仿宋_GB2312" w:eastAsia="仿宋_GB2312" w:cs="仿宋_GB2312"/>
          <w:b/>
          <w:sz w:val="32"/>
          <w:szCs w:val="32"/>
        </w:rPr>
        <w:t>水运：</w:t>
      </w:r>
      <w:r>
        <w:rPr>
          <w:rFonts w:hint="eastAsia" w:ascii="仿宋_GB2312" w:hAnsi="仿宋_GB2312" w:eastAsia="仿宋_GB2312" w:cs="仿宋_GB2312"/>
          <w:bCs/>
          <w:sz w:val="32"/>
          <w:szCs w:val="32"/>
        </w:rPr>
        <w:t>全市水运通航里程</w:t>
      </w:r>
      <w:r>
        <w:rPr>
          <w:rFonts w:hint="eastAsia" w:ascii="仿宋_GB2312" w:hAnsi="仿宋_GB2312" w:eastAsia="仿宋_GB2312" w:cs="仿宋_GB2312"/>
          <w:bCs/>
          <w:sz w:val="32"/>
          <w:szCs w:val="32"/>
          <w:lang w:val="en-US" w:eastAsia="zh-CN"/>
        </w:rPr>
        <w:t>685</w:t>
      </w:r>
      <w:r>
        <w:rPr>
          <w:rFonts w:hint="eastAsia" w:ascii="仿宋_GB2312" w:hAnsi="仿宋_GB2312" w:eastAsia="仿宋_GB2312" w:cs="仿宋_GB2312"/>
          <w:bCs/>
          <w:sz w:val="32"/>
          <w:szCs w:val="32"/>
        </w:rPr>
        <w:t>公里，境内的淮河、沙颍河是通往华东的水运航道。阜阳港有阜阳</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界首、太和、颍上、临泉、</w:t>
      </w:r>
      <w:r>
        <w:rPr>
          <w:rFonts w:hint="eastAsia" w:ascii="仿宋_GB2312" w:hAnsi="仿宋_GB2312" w:eastAsia="仿宋_GB2312" w:cs="仿宋_GB2312"/>
          <w:bCs/>
          <w:sz w:val="32"/>
          <w:szCs w:val="32"/>
          <w:lang w:val="en-US" w:eastAsia="zh-CN"/>
        </w:rPr>
        <w:t>阜南</w:t>
      </w:r>
      <w:r>
        <w:rPr>
          <w:rFonts w:hint="eastAsia" w:ascii="仿宋_GB2312" w:hAnsi="仿宋_GB2312" w:eastAsia="仿宋_GB2312" w:cs="仿宋_GB2312"/>
          <w:bCs/>
          <w:sz w:val="32"/>
          <w:szCs w:val="32"/>
        </w:rPr>
        <w:t>等</w:t>
      </w:r>
      <w:r>
        <w:rPr>
          <w:rFonts w:hint="eastAsia" w:ascii="仿宋_GB2312" w:hAnsi="仿宋_GB2312" w:eastAsia="仿宋_GB2312" w:cs="仿宋_GB2312"/>
          <w:bCs/>
          <w:sz w:val="32"/>
          <w:szCs w:val="32"/>
          <w:lang w:val="en-US" w:eastAsia="zh-CN"/>
        </w:rPr>
        <w:t>6个港区</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规划29个作业区</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w:t>
      </w:r>
      <w:r>
        <w:rPr>
          <w:rFonts w:hint="eastAsia" w:ascii="仿宋_GB2312" w:hAnsi="仿宋_GB2312" w:eastAsia="仿宋_GB2312" w:cs="仿宋_GB2312"/>
          <w:bCs/>
          <w:sz w:val="32"/>
          <w:szCs w:val="32"/>
          <w:lang w:val="en-US" w:eastAsia="zh-CN"/>
        </w:rPr>
        <w:t>规划年通过能力9050万吨</w:t>
      </w:r>
      <w:r>
        <w:rPr>
          <w:rFonts w:hint="eastAsia" w:ascii="仿宋_GB2312" w:hAnsi="仿宋_GB2312" w:eastAsia="仿宋_GB2312" w:cs="仿宋_GB2312"/>
          <w:bCs/>
          <w:sz w:val="32"/>
          <w:szCs w:val="32"/>
        </w:rPr>
        <w:t>，可以承接各种货船代理，豫、皖直达江、浙、沪的铁、公、水联运业务和直达闽、粤、琼的江海河联运业务。“十四五”期间，</w:t>
      </w:r>
      <w:r>
        <w:rPr>
          <w:rFonts w:hint="eastAsia" w:ascii="仿宋_GB2312" w:hAnsi="仿宋_GB2312" w:eastAsia="仿宋_GB2312" w:cs="仿宋_GB2312"/>
          <w:bCs/>
          <w:sz w:val="32"/>
          <w:szCs w:val="32"/>
          <w:lang w:eastAsia="zh-CN"/>
        </w:rPr>
        <w:t>阜阳</w:t>
      </w:r>
      <w:r>
        <w:rPr>
          <w:rFonts w:hint="eastAsia" w:ascii="仿宋_GB2312" w:hAnsi="仿宋_GB2312" w:eastAsia="仿宋_GB2312" w:cs="仿宋_GB2312"/>
          <w:bCs/>
          <w:sz w:val="32"/>
          <w:szCs w:val="32"/>
        </w:rPr>
        <w:t>将协调推进</w:t>
      </w:r>
      <w:r>
        <w:rPr>
          <w:rFonts w:hint="eastAsia" w:ascii="仿宋_GB2312" w:hAnsi="仿宋_GB2312" w:eastAsia="仿宋_GB2312" w:cs="仿宋_GB2312"/>
          <w:bCs/>
          <w:sz w:val="32"/>
          <w:szCs w:val="32"/>
          <w:lang w:val="en-US" w:eastAsia="zh-CN"/>
        </w:rPr>
        <w:t>淮河干流（阜阳段）航道整治工作、耿楼复线船闸工程、阜阳港临泉港区综合码头工程、</w:t>
      </w:r>
      <w:r>
        <w:rPr>
          <w:rFonts w:hint="eastAsia" w:ascii="仿宋_GB2312" w:hAnsi="仿宋_GB2312" w:eastAsia="仿宋_GB2312" w:cs="仿宋_GB2312"/>
          <w:bCs/>
          <w:sz w:val="32"/>
          <w:szCs w:val="32"/>
        </w:rPr>
        <w:t>临泉海螺水泥有限责任公司码头工程等项目建设，配合推动阜阳港（南照作业区综合码头）、阜阳复线船闸前期工作。</w:t>
      </w:r>
    </w:p>
    <w:p w14:paraId="6CCA2A74">
      <w:pPr>
        <w:pStyle w:val="23"/>
        <w:spacing w:after="0" w:line="600" w:lineRule="exact"/>
        <w:ind w:left="0" w:leftChars="0" w:firstLine="643"/>
        <w:rPr>
          <w:rFonts w:hint="default" w:ascii="仿宋_GB2312" w:hAnsi="仿宋_GB2312" w:eastAsia="仿宋_GB2312" w:cs="仿宋_GB2312"/>
          <w:b/>
          <w:bCs w:val="0"/>
          <w:sz w:val="32"/>
          <w:szCs w:val="32"/>
          <w:lang w:val="en-US" w:eastAsia="zh-CN"/>
        </w:rPr>
      </w:pPr>
      <w:r>
        <w:rPr>
          <w:rFonts w:hint="eastAsia" w:ascii="仿宋_GB2312" w:hAnsi="仿宋_GB2312" w:eastAsia="仿宋_GB2312" w:cs="仿宋_GB2312"/>
          <w:b/>
          <w:bCs w:val="0"/>
          <w:sz w:val="32"/>
          <w:szCs w:val="32"/>
          <w:lang w:eastAsia="zh-CN"/>
        </w:rPr>
        <w:t>政策优势。</w:t>
      </w:r>
      <w:r>
        <w:rPr>
          <w:rFonts w:hint="eastAsia" w:ascii="仿宋_GB2312" w:hAnsi="仿宋_GB2312" w:eastAsia="仿宋_GB2312" w:cs="仿宋_GB2312"/>
          <w:b w:val="0"/>
          <w:bCs/>
          <w:sz w:val="32"/>
          <w:szCs w:val="32"/>
          <w:lang w:eastAsia="zh-CN"/>
        </w:rPr>
        <w:t>随着</w:t>
      </w:r>
      <w:r>
        <w:rPr>
          <w:rFonts w:hint="eastAsia" w:ascii="仿宋_GB2312" w:hAnsi="仿宋_GB2312" w:eastAsia="仿宋_GB2312" w:cs="仿宋_GB2312"/>
          <w:bCs/>
          <w:sz w:val="32"/>
          <w:szCs w:val="32"/>
          <w:lang w:eastAsia="zh-CN"/>
        </w:rPr>
        <w:t>长三角一体化发展、中部</w:t>
      </w:r>
      <w:r>
        <w:rPr>
          <w:rFonts w:hint="eastAsia" w:ascii="仿宋_GB2312" w:hAnsi="仿宋_GB2312" w:eastAsia="仿宋_GB2312" w:cs="仿宋_GB2312"/>
          <w:bCs/>
          <w:sz w:val="32"/>
          <w:szCs w:val="32"/>
          <w:lang w:val="en-US" w:eastAsia="zh-CN"/>
        </w:rPr>
        <w:t>地区高质量发展</w:t>
      </w:r>
      <w:r>
        <w:rPr>
          <w:rFonts w:hint="eastAsia" w:ascii="仿宋_GB2312" w:hAnsi="仿宋_GB2312" w:eastAsia="仿宋_GB2312" w:cs="仿宋_GB2312"/>
          <w:bCs/>
          <w:sz w:val="32"/>
          <w:szCs w:val="32"/>
          <w:lang w:eastAsia="zh-CN"/>
        </w:rPr>
        <w:t>、中原城市群、淮河生态经济带等国家层面区域发展战略的深入实施</w:t>
      </w:r>
      <w:r>
        <w:rPr>
          <w:rFonts w:hint="eastAsia" w:ascii="仿宋_GB2312" w:hAnsi="仿宋_GB2312" w:eastAsia="仿宋_GB2312" w:cs="仿宋_GB2312"/>
          <w:bCs/>
          <w:sz w:val="32"/>
          <w:szCs w:val="32"/>
        </w:rPr>
        <w:t>，</w:t>
      </w:r>
      <w:r>
        <w:rPr>
          <w:rFonts w:hint="eastAsia" w:ascii="仿宋_GB2312" w:hAnsi="仿宋_GB2312" w:eastAsia="仿宋_GB2312" w:cs="仿宋_GB2312"/>
          <w:bCs/>
          <w:sz w:val="32"/>
          <w:szCs w:val="32"/>
          <w:lang w:eastAsia="zh-CN"/>
        </w:rPr>
        <w:t>以及省大力推进皖北地区高质量发展，皖北承接产业转移集聚区的政策优势更加明显。阜阳将用足国家</w:t>
      </w:r>
      <w:r>
        <w:rPr>
          <w:rFonts w:hint="eastAsia" w:ascii="仿宋_GB2312" w:hAnsi="仿宋_GB2312" w:eastAsia="仿宋_GB2312" w:cs="仿宋_GB2312"/>
          <w:bCs/>
          <w:sz w:val="32"/>
          <w:szCs w:val="32"/>
          <w:lang w:val="en-US" w:eastAsia="zh-CN"/>
        </w:rPr>
        <w:t>24条支持政策和省有关实施方案，</w:t>
      </w:r>
      <w:r>
        <w:rPr>
          <w:rFonts w:hint="eastAsia" w:ascii="仿宋_GB2312" w:hAnsi="仿宋_GB2312" w:eastAsia="仿宋_GB2312" w:cs="仿宋_GB2312"/>
          <w:bCs/>
          <w:sz w:val="32"/>
          <w:szCs w:val="32"/>
          <w:lang w:eastAsia="zh-CN"/>
        </w:rPr>
        <w:t>围绕节能环保、</w:t>
      </w:r>
      <w:r>
        <w:rPr>
          <w:rFonts w:hint="default" w:ascii="仿宋_GB2312" w:hAnsi="仿宋_GB2312" w:eastAsia="仿宋_GB2312" w:cs="仿宋_GB2312"/>
          <w:bCs/>
          <w:sz w:val="32"/>
          <w:szCs w:val="32"/>
          <w:lang w:val="en-US" w:eastAsia="zh-CN"/>
        </w:rPr>
        <w:t>现代医药</w:t>
      </w:r>
      <w:r>
        <w:rPr>
          <w:rFonts w:hint="eastAsia" w:ascii="仿宋_GB2312" w:hAnsi="仿宋_GB2312" w:eastAsia="仿宋_GB2312" w:cs="仿宋_GB2312"/>
          <w:bCs/>
          <w:sz w:val="32"/>
          <w:szCs w:val="32"/>
          <w:lang w:eastAsia="zh-CN"/>
        </w:rPr>
        <w:t>等优势产业，打造“</w:t>
      </w:r>
      <w:r>
        <w:rPr>
          <w:rFonts w:hint="eastAsia" w:ascii="仿宋_GB2312" w:hAnsi="仿宋_GB2312" w:eastAsia="仿宋_GB2312" w:cs="仿宋_GB2312"/>
          <w:bCs/>
          <w:sz w:val="32"/>
          <w:szCs w:val="32"/>
          <w:lang w:val="en-US" w:eastAsia="zh-CN"/>
        </w:rPr>
        <w:t>1+7</w:t>
      </w:r>
      <w:r>
        <w:rPr>
          <w:rFonts w:hint="eastAsia" w:ascii="仿宋_GB2312" w:hAnsi="仿宋_GB2312" w:eastAsia="仿宋_GB2312" w:cs="仿宋_GB2312"/>
          <w:bCs/>
          <w:sz w:val="32"/>
          <w:szCs w:val="32"/>
          <w:lang w:eastAsia="zh-CN"/>
        </w:rPr>
        <w:t>”承接产业转移平台体系，高水平建设皖北承接产业转移集聚区。</w:t>
      </w:r>
    </w:p>
    <w:p w14:paraId="25FDC8BA">
      <w:pPr>
        <w:pStyle w:val="23"/>
        <w:spacing w:after="0" w:line="600" w:lineRule="exact"/>
        <w:ind w:left="0" w:leftChars="0" w:firstLine="643"/>
        <w:rPr>
          <w:rFonts w:hint="eastAsia" w:ascii="仿宋_GB2312" w:hAnsi="仿宋_GB2312" w:eastAsia="仿宋_GB2312" w:cs="仿宋_GB2312"/>
          <w:b/>
          <w:sz w:val="32"/>
          <w:szCs w:val="32"/>
          <w:lang w:eastAsia="zh-CN"/>
        </w:rPr>
      </w:pPr>
      <w:r>
        <w:rPr>
          <w:rFonts w:hint="eastAsia" w:ascii="仿宋_GB2312" w:hAnsi="仿宋_GB2312" w:eastAsia="仿宋_GB2312" w:cs="仿宋_GB2312"/>
          <w:b/>
          <w:bCs w:val="0"/>
          <w:sz w:val="32"/>
          <w:szCs w:val="32"/>
          <w:lang w:eastAsia="zh-CN"/>
        </w:rPr>
        <w:t>农业优势。</w:t>
      </w:r>
      <w:r>
        <w:rPr>
          <w:rFonts w:hint="eastAsia" w:ascii="仿宋_GB2312" w:hAnsi="仿宋_GB2312" w:eastAsia="仿宋_GB2312" w:cs="仿宋_GB2312"/>
          <w:b w:val="0"/>
          <w:bCs/>
          <w:sz w:val="32"/>
          <w:szCs w:val="32"/>
          <w:lang w:eastAsia="zh-CN"/>
        </w:rPr>
        <w:t>阜阳</w:t>
      </w:r>
      <w:r>
        <w:rPr>
          <w:rFonts w:hint="eastAsia" w:ascii="仿宋_GB2312" w:hAnsi="仿宋_GB2312" w:eastAsia="仿宋_GB2312" w:cs="仿宋_GB2312"/>
          <w:bCs/>
          <w:sz w:val="32"/>
          <w:szCs w:val="32"/>
        </w:rPr>
        <w:t>是全国享誉盛名的百亿江淮粮仓和国家大型商品粮、棉、油、肉生产基地</w:t>
      </w:r>
      <w:r>
        <w:rPr>
          <w:rFonts w:hint="eastAsia" w:ascii="仿宋_GB2312" w:hAnsi="仿宋_GB2312" w:eastAsia="仿宋_GB2312" w:cs="仿宋_GB2312"/>
          <w:bCs/>
          <w:sz w:val="32"/>
          <w:szCs w:val="32"/>
          <w:lang w:eastAsia="zh-CN"/>
        </w:rPr>
        <w:t>。农产品资源丰富，全市常年农作物播种面积1800多万亩，粮食总产</w:t>
      </w:r>
      <w:r>
        <w:rPr>
          <w:rFonts w:hint="eastAsia" w:ascii="仿宋_GB2312" w:hAnsi="仿宋_GB2312" w:eastAsia="仿宋_GB2312" w:cs="仿宋_GB2312"/>
          <w:bCs/>
          <w:sz w:val="32"/>
          <w:szCs w:val="32"/>
          <w:lang w:val="en-US" w:eastAsia="zh-CN"/>
        </w:rPr>
        <w:t>量</w:t>
      </w:r>
      <w:r>
        <w:rPr>
          <w:rFonts w:hint="eastAsia" w:ascii="仿宋_GB2312" w:hAnsi="仿宋_GB2312" w:eastAsia="仿宋_GB2312" w:cs="仿宋_GB2312"/>
          <w:bCs/>
          <w:sz w:val="32"/>
          <w:szCs w:val="32"/>
          <w:lang w:eastAsia="zh-CN"/>
        </w:rPr>
        <w:t>稳定在100亿斤以上，粮食种植面积和总产量均位于全省首位，肉蛋奶总产量位居全省第二，蔬菜总产</w:t>
      </w:r>
      <w:r>
        <w:rPr>
          <w:rFonts w:hint="eastAsia" w:ascii="仿宋_GB2312" w:hAnsi="仿宋_GB2312" w:eastAsia="仿宋_GB2312" w:cs="仿宋_GB2312"/>
          <w:bCs/>
          <w:sz w:val="32"/>
          <w:szCs w:val="32"/>
          <w:lang w:val="en-US" w:eastAsia="zh-CN"/>
        </w:rPr>
        <w:t>量</w:t>
      </w:r>
      <w:r>
        <w:rPr>
          <w:rFonts w:hint="eastAsia" w:ascii="仿宋_GB2312" w:hAnsi="仿宋_GB2312" w:eastAsia="仿宋_GB2312" w:cs="仿宋_GB2312"/>
          <w:bCs/>
          <w:sz w:val="32"/>
          <w:szCs w:val="32"/>
          <w:lang w:eastAsia="zh-CN"/>
        </w:rPr>
        <w:t>占全省近1/5，水产品总产</w:t>
      </w:r>
      <w:r>
        <w:rPr>
          <w:rFonts w:hint="eastAsia" w:ascii="仿宋_GB2312" w:hAnsi="仿宋_GB2312" w:eastAsia="仿宋_GB2312" w:cs="仿宋_GB2312"/>
          <w:bCs/>
          <w:sz w:val="32"/>
          <w:szCs w:val="32"/>
          <w:lang w:val="en-US" w:eastAsia="zh-CN"/>
        </w:rPr>
        <w:t>量</w:t>
      </w:r>
      <w:r>
        <w:rPr>
          <w:rFonts w:hint="eastAsia" w:ascii="仿宋_GB2312" w:hAnsi="仿宋_GB2312" w:eastAsia="仿宋_GB2312" w:cs="仿宋_GB2312"/>
          <w:bCs/>
          <w:sz w:val="32"/>
          <w:szCs w:val="32"/>
          <w:lang w:eastAsia="zh-CN"/>
        </w:rPr>
        <w:t>占全省的1/10。</w:t>
      </w:r>
    </w:p>
    <w:p w14:paraId="1089CC07">
      <w:pPr>
        <w:pStyle w:val="23"/>
        <w:spacing w:after="0" w:line="600" w:lineRule="exact"/>
        <w:ind w:left="0" w:leftChars="0" w:firstLine="643"/>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lang w:eastAsia="zh-CN"/>
        </w:rPr>
        <w:t>人口优势。</w:t>
      </w:r>
      <w:r>
        <w:rPr>
          <w:rFonts w:hint="eastAsia" w:ascii="仿宋_GB2312" w:hAnsi="仿宋_GB2312" w:eastAsia="仿宋_GB2312" w:cs="仿宋_GB2312"/>
          <w:bCs/>
          <w:sz w:val="32"/>
          <w:szCs w:val="32"/>
          <w:lang w:eastAsia="zh-CN"/>
        </w:rPr>
        <w:t>阜阳</w:t>
      </w:r>
      <w:r>
        <w:rPr>
          <w:rFonts w:hint="eastAsia" w:ascii="仿宋_GB2312" w:hAnsi="仿宋_GB2312" w:eastAsia="仿宋_GB2312" w:cs="仿宋_GB2312"/>
          <w:bCs/>
          <w:sz w:val="32"/>
          <w:szCs w:val="32"/>
        </w:rPr>
        <w:t>是人口大市，</w:t>
      </w:r>
      <w:r>
        <w:rPr>
          <w:rFonts w:hint="eastAsia" w:ascii="仿宋_GB2312" w:hAnsi="仿宋_GB2312" w:eastAsia="仿宋_GB2312" w:cs="仿宋_GB2312"/>
          <w:bCs/>
          <w:sz w:val="32"/>
          <w:szCs w:val="32"/>
          <w:lang w:eastAsia="zh-CN"/>
        </w:rPr>
        <w:t>第七次全国人口普查显示，</w:t>
      </w:r>
      <w:r>
        <w:rPr>
          <w:rFonts w:hint="eastAsia" w:ascii="仿宋_GB2312" w:hAnsi="仿宋_GB2312" w:eastAsia="仿宋_GB2312" w:cs="仿宋_GB2312"/>
          <w:bCs/>
          <w:sz w:val="32"/>
          <w:szCs w:val="32"/>
        </w:rPr>
        <w:t>常住人口</w:t>
      </w:r>
      <w:r>
        <w:rPr>
          <w:rFonts w:hint="eastAsia" w:ascii="仿宋_GB2312" w:hAnsi="仿宋_GB2312" w:eastAsia="仿宋_GB2312" w:cs="仿宋_GB2312"/>
          <w:bCs/>
          <w:sz w:val="32"/>
          <w:szCs w:val="32"/>
          <w:lang w:eastAsia="zh-CN"/>
        </w:rPr>
        <w:t>达</w:t>
      </w:r>
      <w:r>
        <w:rPr>
          <w:rFonts w:hint="eastAsia" w:ascii="仿宋_GB2312" w:hAnsi="仿宋_GB2312" w:eastAsia="仿宋_GB2312" w:cs="仿宋_GB2312"/>
          <w:bCs/>
          <w:sz w:val="32"/>
          <w:szCs w:val="32"/>
        </w:rPr>
        <w:t>800多万，劳动力资源丰富。</w:t>
      </w:r>
      <w:r>
        <w:rPr>
          <w:rFonts w:hint="eastAsia" w:ascii="仿宋_GB2312" w:hAnsi="仿宋_GB2312" w:eastAsia="仿宋_GB2312" w:cs="仿宋_GB2312"/>
          <w:bCs/>
          <w:sz w:val="32"/>
          <w:szCs w:val="32"/>
          <w:lang w:eastAsia="zh-CN"/>
        </w:rPr>
        <w:t>人口素质稳步提升，每</w:t>
      </w:r>
      <w:r>
        <w:rPr>
          <w:rFonts w:hint="eastAsia" w:ascii="仿宋_GB2312" w:hAnsi="仿宋_GB2312" w:eastAsia="仿宋_GB2312" w:cs="仿宋_GB2312"/>
          <w:bCs/>
          <w:sz w:val="32"/>
          <w:szCs w:val="32"/>
          <w:lang w:val="en-US" w:eastAsia="zh-CN"/>
        </w:rPr>
        <w:t>10</w:t>
      </w:r>
      <w:r>
        <w:rPr>
          <w:rFonts w:hint="eastAsia" w:ascii="仿宋_GB2312" w:hAnsi="仿宋_GB2312" w:eastAsia="仿宋_GB2312" w:cs="仿宋_GB2312"/>
          <w:bCs/>
          <w:sz w:val="32"/>
          <w:szCs w:val="32"/>
          <w:lang w:eastAsia="zh-CN"/>
        </w:rPr>
        <w:t>万人口中拥有大学（大专）文化程度人口由</w:t>
      </w:r>
      <w:r>
        <w:rPr>
          <w:rFonts w:hint="eastAsia" w:ascii="仿宋_GB2312" w:hAnsi="仿宋_GB2312" w:eastAsia="仿宋_GB2312" w:cs="仿宋_GB2312"/>
          <w:bCs/>
          <w:sz w:val="32"/>
          <w:szCs w:val="32"/>
          <w:lang w:val="en-US" w:eastAsia="zh-CN"/>
        </w:rPr>
        <w:t>2010年2959人上升到2020年6853人；人口平均受教育年限也明显增加，由2010年7.61年上升到2020年8.51年。</w:t>
      </w:r>
      <w:r>
        <w:rPr>
          <w:rFonts w:hint="eastAsia" w:ascii="仿宋_GB2312" w:hAnsi="仿宋_GB2312" w:eastAsia="仿宋_GB2312" w:cs="仿宋_GB2312"/>
          <w:bCs/>
          <w:sz w:val="32"/>
          <w:szCs w:val="32"/>
          <w:lang w:eastAsia="zh-CN"/>
        </w:rPr>
        <w:t>阜阳</w:t>
      </w:r>
      <w:r>
        <w:rPr>
          <w:rFonts w:hint="eastAsia" w:ascii="仿宋_GB2312" w:hAnsi="仿宋_GB2312" w:eastAsia="仿宋_GB2312" w:cs="仿宋_GB2312"/>
          <w:bCs/>
          <w:sz w:val="32"/>
          <w:szCs w:val="32"/>
        </w:rPr>
        <w:t>拥有阜阳师范大学、阜阳理工学院、阜阳职业技术学院、阜阳技师学院等一批大学及专科院校，可提供大量与工业发展需要相匹配的人才。</w:t>
      </w:r>
    </w:p>
    <w:p w14:paraId="0373D35B">
      <w:pPr>
        <w:pStyle w:val="23"/>
        <w:spacing w:after="0" w:line="600" w:lineRule="exact"/>
        <w:ind w:left="0" w:leftChars="0" w:firstLine="643"/>
        <w:rPr>
          <w:rFonts w:ascii="仿宋_GB2312" w:hAnsi="仿宋_GB2312" w:eastAsia="仿宋_GB2312" w:cs="仿宋_GB2312"/>
          <w:bCs/>
          <w:sz w:val="32"/>
          <w:szCs w:val="32"/>
        </w:rPr>
      </w:pPr>
      <w:r>
        <w:rPr>
          <w:rFonts w:hint="eastAsia" w:ascii="仿宋_GB2312" w:hAnsi="仿宋_GB2312" w:eastAsia="仿宋_GB2312" w:cs="仿宋_GB2312"/>
          <w:b/>
          <w:sz w:val="32"/>
          <w:szCs w:val="32"/>
        </w:rPr>
        <w:t>资源</w:t>
      </w:r>
      <w:r>
        <w:rPr>
          <w:rFonts w:hint="eastAsia" w:ascii="仿宋_GB2312" w:hAnsi="仿宋_GB2312" w:eastAsia="仿宋_GB2312" w:cs="仿宋_GB2312"/>
          <w:b/>
          <w:sz w:val="32"/>
          <w:szCs w:val="32"/>
          <w:lang w:val="en-US" w:eastAsia="zh-CN"/>
        </w:rPr>
        <w:t>优势</w:t>
      </w:r>
      <w:r>
        <w:rPr>
          <w:rFonts w:hint="eastAsia" w:ascii="仿宋_GB2312" w:hAnsi="仿宋_GB2312" w:eastAsia="仿宋_GB2312" w:cs="仿宋_GB2312"/>
          <w:b/>
          <w:sz w:val="32"/>
          <w:szCs w:val="32"/>
        </w:rPr>
        <w:t>。矿产资源：</w:t>
      </w:r>
      <w:r>
        <w:rPr>
          <w:rFonts w:hint="eastAsia" w:ascii="仿宋_GB2312" w:hAnsi="仿宋_GB2312" w:eastAsia="仿宋_GB2312" w:cs="仿宋_GB2312"/>
          <w:bCs/>
          <w:sz w:val="32"/>
          <w:szCs w:val="32"/>
          <w:lang w:eastAsia="zh-CN"/>
        </w:rPr>
        <w:t>阜阳</w:t>
      </w:r>
      <w:r>
        <w:rPr>
          <w:rFonts w:hint="eastAsia" w:ascii="仿宋_GB2312" w:hAnsi="仿宋_GB2312" w:eastAsia="仿宋_GB2312" w:cs="仿宋_GB2312"/>
          <w:bCs/>
          <w:sz w:val="32"/>
          <w:szCs w:val="32"/>
        </w:rPr>
        <w:t>查明资源储量矿种6种</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矿物已探明的有煤矿、铁矿、石灰岩矿和大理石矿等。其中，煤炭蕴藏量达</w:t>
      </w:r>
      <w:r>
        <w:rPr>
          <w:rFonts w:ascii="仿宋_GB2312" w:hAnsi="仿宋_GB2312" w:eastAsia="仿宋_GB2312" w:cs="仿宋_GB2312"/>
          <w:bCs/>
          <w:sz w:val="32"/>
          <w:szCs w:val="32"/>
        </w:rPr>
        <w:t>100亿吨，可采储量80多亿吨</w:t>
      </w:r>
      <w:r>
        <w:rPr>
          <w:rFonts w:hint="eastAsia" w:ascii="仿宋_GB2312" w:hAnsi="仿宋_GB2312" w:eastAsia="仿宋_GB2312" w:cs="仿宋_GB2312"/>
          <w:bCs/>
          <w:sz w:val="32"/>
          <w:szCs w:val="32"/>
        </w:rPr>
        <w:t>，皆为5700大卡左右的优质煤炭。铁矿0.2亿吨</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已探明的仅1处，系霍邱铁矿的延伸部分。</w:t>
      </w:r>
      <w:r>
        <w:rPr>
          <w:rFonts w:hint="eastAsia" w:ascii="仿宋_GB2312" w:hAnsi="仿宋_GB2312" w:eastAsia="仿宋_GB2312" w:cs="仿宋_GB2312"/>
          <w:b/>
          <w:sz w:val="32"/>
          <w:szCs w:val="32"/>
        </w:rPr>
        <w:t>水资源：</w:t>
      </w:r>
      <w:r>
        <w:rPr>
          <w:rFonts w:hint="eastAsia" w:ascii="仿宋_GB2312" w:hAnsi="仿宋_GB2312" w:eastAsia="仿宋_GB2312" w:cs="仿宋_GB2312"/>
          <w:b w:val="0"/>
          <w:bCs/>
          <w:sz w:val="32"/>
          <w:szCs w:val="32"/>
          <w:lang w:val="en-US" w:eastAsia="zh-CN"/>
        </w:rPr>
        <w:t>阜阳</w:t>
      </w:r>
      <w:r>
        <w:rPr>
          <w:rFonts w:hint="eastAsia" w:ascii="仿宋_GB2312" w:hAnsi="仿宋_GB2312" w:eastAsia="仿宋_GB2312" w:cs="仿宋_GB2312"/>
          <w:bCs/>
          <w:sz w:val="32"/>
          <w:szCs w:val="32"/>
        </w:rPr>
        <w:t>地表水资源丰富，从西往东依次有谷河、润河、泉河、颍河、西淝河、茨河、澥河、包河等自然河道</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均属淮河水系</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其中</w:t>
      </w:r>
      <w:r>
        <w:rPr>
          <w:rFonts w:hint="eastAsia" w:ascii="仿宋_GB2312" w:hAnsi="仿宋_GB2312" w:eastAsia="仿宋_GB2312" w:cs="仿宋_GB2312"/>
          <w:bCs/>
          <w:sz w:val="32"/>
          <w:szCs w:val="32"/>
        </w:rPr>
        <w:t>淮河两大支流颍河、泉河呈“Y”形穿境而过，60余条河流纵横交织，河道过境径流量38.2亿立方。</w:t>
      </w:r>
      <w:r>
        <w:rPr>
          <w:rFonts w:hint="eastAsia" w:ascii="仿宋_GB2312" w:hAnsi="仿宋_GB2312" w:eastAsia="仿宋_GB2312" w:cs="仿宋_GB2312"/>
          <w:b/>
          <w:sz w:val="32"/>
          <w:szCs w:val="32"/>
        </w:rPr>
        <w:t>光照资源：</w:t>
      </w:r>
      <w:r>
        <w:rPr>
          <w:rFonts w:hint="eastAsia" w:ascii="仿宋_GB2312" w:hAnsi="仿宋_GB2312" w:eastAsia="仿宋_GB2312" w:cs="仿宋_GB2312"/>
          <w:bCs/>
          <w:sz w:val="32"/>
          <w:szCs w:val="32"/>
          <w:lang w:eastAsia="zh-CN"/>
        </w:rPr>
        <w:t>阜阳</w:t>
      </w:r>
      <w:r>
        <w:rPr>
          <w:rFonts w:hint="eastAsia" w:ascii="仿宋_GB2312" w:hAnsi="仿宋_GB2312" w:eastAsia="仿宋_GB2312" w:cs="仿宋_GB2312"/>
          <w:bCs/>
          <w:sz w:val="32"/>
          <w:szCs w:val="32"/>
        </w:rPr>
        <w:t>太阳能资源空间分布呈南北高中部低的趋势，太阳能总辐射介于4200-4650MJ/m</w:t>
      </w:r>
      <w:r>
        <w:rPr>
          <w:rFonts w:hint="eastAsia" w:ascii="仿宋_GB2312" w:hAnsi="仿宋_GB2312" w:eastAsia="仿宋_GB2312" w:cs="仿宋_GB2312"/>
          <w:bCs/>
          <w:sz w:val="32"/>
          <w:szCs w:val="32"/>
          <w:vertAlign w:val="superscript"/>
        </w:rPr>
        <w:t>2</w:t>
      </w:r>
      <w:r>
        <w:rPr>
          <w:rFonts w:hint="eastAsia" w:ascii="仿宋_GB2312" w:hAnsi="仿宋_GB2312" w:eastAsia="仿宋_GB2312" w:cs="仿宋_GB2312"/>
          <w:bCs/>
          <w:sz w:val="32"/>
          <w:szCs w:val="32"/>
        </w:rPr>
        <w:t>之间，基本为太阳能III类资源区，属于“丰富带”。</w:t>
      </w:r>
      <w:r>
        <w:rPr>
          <w:rFonts w:hint="eastAsia" w:ascii="仿宋_GB2312" w:hAnsi="仿宋_GB2312" w:eastAsia="仿宋_GB2312" w:cs="仿宋_GB2312"/>
          <w:b/>
          <w:sz w:val="32"/>
          <w:szCs w:val="32"/>
        </w:rPr>
        <w:t>生物质资源：</w:t>
      </w:r>
      <w:r>
        <w:rPr>
          <w:rFonts w:hint="eastAsia" w:ascii="仿宋_GB2312" w:hAnsi="仿宋_GB2312" w:eastAsia="仿宋_GB2312" w:cs="仿宋_GB2312"/>
          <w:bCs/>
          <w:sz w:val="32"/>
          <w:szCs w:val="32"/>
          <w:lang w:eastAsia="zh-CN"/>
        </w:rPr>
        <w:t>阜阳</w:t>
      </w:r>
      <w:r>
        <w:rPr>
          <w:rFonts w:hint="eastAsia" w:ascii="仿宋_GB2312" w:hAnsi="仿宋_GB2312" w:eastAsia="仿宋_GB2312" w:cs="仿宋_GB2312"/>
          <w:bCs/>
          <w:sz w:val="32"/>
          <w:szCs w:val="32"/>
        </w:rPr>
        <w:t>属农作物秸秆资源丰富地区。2019年农作物秸秆综合利用623.3万吨，综合利用率94.6%，生物质综合利用基础条件较好。</w:t>
      </w:r>
      <w:r>
        <w:rPr>
          <w:rFonts w:hint="eastAsia" w:ascii="仿宋_GB2312" w:hAnsi="仿宋_GB2312" w:eastAsia="仿宋_GB2312" w:cs="仿宋_GB2312"/>
          <w:b/>
          <w:sz w:val="32"/>
          <w:szCs w:val="32"/>
        </w:rPr>
        <w:t>风能资源：</w:t>
      </w:r>
      <w:r>
        <w:rPr>
          <w:rFonts w:hint="eastAsia" w:ascii="仿宋_GB2312" w:hAnsi="仿宋_GB2312" w:eastAsia="仿宋_GB2312" w:cs="仿宋_GB2312"/>
          <w:bCs/>
          <w:sz w:val="32"/>
          <w:szCs w:val="32"/>
          <w:lang w:eastAsia="zh-CN"/>
        </w:rPr>
        <w:t>阜阳</w:t>
      </w:r>
      <w:r>
        <w:rPr>
          <w:rFonts w:hint="eastAsia" w:ascii="仿宋_GB2312" w:hAnsi="仿宋_GB2312" w:eastAsia="仿宋_GB2312" w:cs="仿宋_GB2312"/>
          <w:bCs/>
          <w:sz w:val="32"/>
          <w:szCs w:val="32"/>
        </w:rPr>
        <w:t>地处平原地区，地势开阔，风能资源蕴藏量丰富，具备建设风电场的先天条件。</w:t>
      </w:r>
    </w:p>
    <w:p w14:paraId="1C59EB7D">
      <w:pPr>
        <w:spacing w:line="600" w:lineRule="exact"/>
        <w:ind w:firstLine="643" w:firstLineChars="200"/>
        <w:rPr>
          <w:rFonts w:ascii="仿宋_GB2312" w:hAnsi="仿宋_GB2312" w:eastAsia="仿宋_GB2312" w:cs="仿宋_GB2312"/>
          <w:bCs/>
          <w:sz w:val="32"/>
          <w:szCs w:val="32"/>
        </w:rPr>
      </w:pPr>
      <w:bookmarkStart w:id="47" w:name="_Toc20641"/>
      <w:bookmarkStart w:id="48" w:name="_Toc16534"/>
      <w:r>
        <w:rPr>
          <w:rFonts w:hint="eastAsia" w:ascii="仿宋_GB2312" w:hAnsi="仿宋_GB2312" w:eastAsia="仿宋_GB2312" w:cs="仿宋_GB2312"/>
          <w:b/>
          <w:sz w:val="32"/>
          <w:szCs w:val="32"/>
        </w:rPr>
        <w:t>基础</w:t>
      </w:r>
      <w:r>
        <w:rPr>
          <w:rFonts w:hint="eastAsia" w:ascii="仿宋_GB2312" w:hAnsi="仿宋_GB2312" w:eastAsia="仿宋_GB2312" w:cs="仿宋_GB2312"/>
          <w:b/>
          <w:sz w:val="32"/>
          <w:szCs w:val="32"/>
          <w:lang w:val="en-US" w:eastAsia="zh-CN"/>
        </w:rPr>
        <w:t>优势</w:t>
      </w:r>
      <w:r>
        <w:rPr>
          <w:rFonts w:hint="eastAsia" w:ascii="仿宋_GB2312" w:hAnsi="仿宋_GB2312" w:eastAsia="仿宋_GB2312" w:cs="仿宋_GB2312"/>
          <w:b/>
          <w:sz w:val="32"/>
          <w:szCs w:val="32"/>
        </w:rPr>
        <w:t>。</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十三五</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期间，</w:t>
      </w:r>
      <w:r>
        <w:rPr>
          <w:rFonts w:hint="eastAsia" w:ascii="仿宋_GB2312" w:hAnsi="仿宋_GB2312" w:eastAsia="仿宋_GB2312" w:cs="仿宋_GB2312"/>
          <w:bCs/>
          <w:sz w:val="32"/>
          <w:szCs w:val="32"/>
          <w:lang w:eastAsia="zh-CN"/>
        </w:rPr>
        <w:t>阜阳</w:t>
      </w:r>
      <w:r>
        <w:rPr>
          <w:rFonts w:hint="eastAsia" w:ascii="仿宋_GB2312" w:hAnsi="仿宋_GB2312" w:eastAsia="仿宋_GB2312" w:cs="仿宋_GB2312"/>
          <w:bCs/>
          <w:sz w:val="32"/>
          <w:szCs w:val="32"/>
          <w:lang w:val="en-US" w:eastAsia="zh-CN"/>
        </w:rPr>
        <w:t>综合实力大幅提升，成为安徽省重要的增长极，GDP位居全国百强、安徽省第四位。</w:t>
      </w:r>
      <w:r>
        <w:rPr>
          <w:rFonts w:hint="eastAsia" w:ascii="仿宋_GB2312" w:hAnsi="仿宋_GB2312" w:eastAsia="仿宋_GB2312" w:cs="仿宋_GB2312"/>
          <w:bCs/>
          <w:sz w:val="32"/>
          <w:szCs w:val="32"/>
        </w:rPr>
        <w:t>近年来，全市上下聚焦产业兴城、工业强市，大力实施产业发展五年行动计划，深入开展“产业项目建设年”活动，初步构建了</w:t>
      </w:r>
      <w:r>
        <w:rPr>
          <w:rFonts w:hint="eastAsia" w:ascii="仿宋_GB2312" w:hAnsi="仿宋_GB2312" w:eastAsia="仿宋_GB2312" w:cs="仿宋_GB2312"/>
          <w:bCs/>
          <w:sz w:val="32"/>
          <w:szCs w:val="32"/>
          <w:lang w:val="en-US" w:eastAsia="zh-CN"/>
        </w:rPr>
        <w:t>以</w:t>
      </w:r>
      <w:r>
        <w:rPr>
          <w:rFonts w:hint="eastAsia" w:ascii="仿宋_GB2312" w:hAnsi="仿宋_GB2312" w:eastAsia="仿宋_GB2312" w:cs="仿宋_GB2312"/>
          <w:bCs/>
          <w:sz w:val="32"/>
          <w:szCs w:val="32"/>
        </w:rPr>
        <w:t>装备制造、节能环保、绿色建筑建材、能源化工、绿色食品</w:t>
      </w:r>
      <w:r>
        <w:rPr>
          <w:rFonts w:hint="eastAsia" w:ascii="仿宋_GB2312" w:hAnsi="仿宋_GB2312" w:eastAsia="仿宋_GB2312" w:cs="仿宋_GB2312"/>
          <w:bCs/>
          <w:sz w:val="32"/>
          <w:szCs w:val="32"/>
          <w:lang w:val="en-US" w:eastAsia="zh-CN"/>
        </w:rPr>
        <w:t>为首位产业，以</w:t>
      </w:r>
      <w:r>
        <w:rPr>
          <w:rFonts w:hint="eastAsia" w:ascii="仿宋_GB2312" w:hAnsi="仿宋_GB2312" w:eastAsia="仿宋_GB2312" w:cs="仿宋_GB2312"/>
          <w:bCs/>
          <w:sz w:val="32"/>
          <w:szCs w:val="32"/>
        </w:rPr>
        <w:t>现代农业、商贸服务、文化旅游、现代医药、纺织服装</w:t>
      </w:r>
      <w:r>
        <w:rPr>
          <w:rFonts w:hint="eastAsia" w:ascii="仿宋_GB2312" w:hAnsi="仿宋_GB2312" w:eastAsia="仿宋_GB2312" w:cs="仿宋_GB2312"/>
          <w:bCs/>
          <w:sz w:val="32"/>
          <w:szCs w:val="32"/>
          <w:lang w:val="en-US" w:eastAsia="zh-CN"/>
        </w:rPr>
        <w:t>为特色产业，以</w:t>
      </w:r>
      <w:r>
        <w:rPr>
          <w:rFonts w:hint="eastAsia" w:ascii="仿宋_GB2312" w:hAnsi="仿宋_GB2312" w:eastAsia="仿宋_GB2312" w:cs="仿宋_GB2312"/>
          <w:bCs/>
          <w:sz w:val="32"/>
          <w:szCs w:val="32"/>
        </w:rPr>
        <w:t>数字经济、楼宇经济、</w:t>
      </w:r>
      <w:r>
        <w:rPr>
          <w:rFonts w:hint="eastAsia" w:ascii="仿宋_GB2312" w:hAnsi="仿宋_GB2312" w:eastAsia="仿宋_GB2312" w:cs="仿宋_GB2312"/>
          <w:bCs/>
          <w:sz w:val="32"/>
          <w:szCs w:val="32"/>
          <w:lang w:val="en-US" w:eastAsia="zh-CN"/>
        </w:rPr>
        <w:t>现代医药</w:t>
      </w:r>
      <w:r>
        <w:rPr>
          <w:rFonts w:hint="eastAsia" w:ascii="仿宋_GB2312" w:hAnsi="仿宋_GB2312" w:eastAsia="仿宋_GB2312" w:cs="仿宋_GB2312"/>
          <w:bCs/>
          <w:sz w:val="32"/>
          <w:szCs w:val="32"/>
        </w:rPr>
        <w:t>、新材料</w:t>
      </w:r>
      <w:r>
        <w:rPr>
          <w:rFonts w:hint="eastAsia" w:ascii="仿宋_GB2312" w:hAnsi="仿宋_GB2312" w:eastAsia="仿宋_GB2312" w:cs="仿宋_GB2312"/>
          <w:bCs/>
          <w:sz w:val="32"/>
          <w:szCs w:val="32"/>
          <w:lang w:val="en-US" w:eastAsia="zh-CN"/>
        </w:rPr>
        <w:t>为高成长性产业的多元协同</w:t>
      </w:r>
      <w:r>
        <w:rPr>
          <w:rFonts w:hint="eastAsia" w:ascii="仿宋_GB2312" w:hAnsi="仿宋_GB2312" w:eastAsia="仿宋_GB2312" w:cs="仿宋_GB2312"/>
          <w:bCs/>
          <w:sz w:val="32"/>
          <w:szCs w:val="32"/>
        </w:rPr>
        <w:t>产业发展格局。规模以上工业企业发展到1657家，其中产值10亿元以上龙头企业达到35家，打造了界首市资源循环利用、太和县现代医药等19个年产值30亿元以上产业集群，产业特色鲜明，发展基础日益坚实。</w:t>
      </w:r>
      <w:bookmarkEnd w:id="47"/>
      <w:bookmarkEnd w:id="48"/>
    </w:p>
    <w:p w14:paraId="6BC34AB7">
      <w:pPr>
        <w:pStyle w:val="23"/>
        <w:spacing w:line="600" w:lineRule="exact"/>
        <w:ind w:firstLine="640"/>
        <w:rPr>
          <w:rFonts w:ascii="仿宋_GB2312" w:hAnsi="仿宋_GB2312" w:eastAsia="仿宋_GB2312" w:cs="仿宋_GB2312"/>
          <w:bCs/>
          <w:sz w:val="32"/>
          <w:szCs w:val="32"/>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425" w:num="1"/>
          <w:docGrid w:type="lines" w:linePitch="312" w:charSpace="0"/>
        </w:sectPr>
      </w:pPr>
    </w:p>
    <w:p w14:paraId="7FB09A55">
      <w:pPr>
        <w:keepNext/>
        <w:keepLines/>
        <w:spacing w:line="413" w:lineRule="auto"/>
        <w:ind w:firstLine="640" w:firstLineChars="200"/>
        <w:outlineLvl w:val="0"/>
        <w:rPr>
          <w:rFonts w:ascii="黑体" w:hAnsi="黑体" w:eastAsia="黑体" w:cs="黑体"/>
          <w:sz w:val="32"/>
          <w:szCs w:val="32"/>
        </w:rPr>
      </w:pPr>
      <w:bookmarkStart w:id="49" w:name="_Toc31171"/>
      <w:bookmarkStart w:id="50" w:name="_Toc18364"/>
      <w:bookmarkStart w:id="51" w:name="_Toc8710"/>
      <w:bookmarkStart w:id="52" w:name="_Toc3473"/>
      <w:bookmarkStart w:id="53" w:name="_Toc27577"/>
      <w:bookmarkStart w:id="54" w:name="_Toc9600"/>
      <w:bookmarkStart w:id="55" w:name="_Toc12200"/>
      <w:bookmarkStart w:id="56" w:name="_Toc4556"/>
      <w:bookmarkStart w:id="57" w:name="_Toc16263"/>
      <w:bookmarkStart w:id="58" w:name="_Toc4251"/>
      <w:bookmarkStart w:id="59" w:name="_Toc10894"/>
      <w:r>
        <w:rPr>
          <w:rFonts w:hint="eastAsia" w:ascii="黑体" w:hAnsi="黑体" w:eastAsia="黑体" w:cs="黑体"/>
          <w:sz w:val="32"/>
          <w:szCs w:val="32"/>
        </w:rPr>
        <w:t>一、工业发展现状与发展环境</w:t>
      </w:r>
      <w:bookmarkEnd w:id="49"/>
      <w:bookmarkEnd w:id="50"/>
      <w:bookmarkEnd w:id="51"/>
      <w:bookmarkEnd w:id="52"/>
      <w:bookmarkEnd w:id="53"/>
      <w:bookmarkEnd w:id="54"/>
      <w:bookmarkEnd w:id="55"/>
      <w:bookmarkEnd w:id="56"/>
      <w:bookmarkEnd w:id="57"/>
      <w:bookmarkEnd w:id="58"/>
      <w:bookmarkEnd w:id="59"/>
    </w:p>
    <w:p w14:paraId="17FC67F0">
      <w:pPr>
        <w:spacing w:line="600" w:lineRule="exact"/>
        <w:ind w:firstLine="640" w:firstLineChars="200"/>
        <w:rPr>
          <w:rFonts w:ascii="仿宋_GB2312" w:hAnsi="仿宋_GB2312" w:eastAsia="仿宋_GB2312" w:cs="仿宋_GB2312"/>
          <w:bCs/>
          <w:sz w:val="32"/>
          <w:szCs w:val="32"/>
        </w:rPr>
      </w:pPr>
      <w:bookmarkStart w:id="60" w:name="_Toc13834"/>
      <w:r>
        <w:rPr>
          <w:rFonts w:hint="eastAsia" w:ascii="仿宋_GB2312" w:hAnsi="仿宋_GB2312" w:eastAsia="仿宋_GB2312" w:cs="仿宋_GB2312"/>
          <w:bCs/>
          <w:sz w:val="32"/>
          <w:szCs w:val="32"/>
        </w:rPr>
        <w:t>“十三五”期间，在市委、市政府的坚强领导下，全市上下认真学习贯彻习近平新时代中国特色社会主义思想，聚焦产业兴城、工业强市，坚持以供给侧结构性改革为主线，以提高发展质量和效益为中心，着力优环境、育主体、搭平台、强服务、创品牌、促升级，在工业发展的规模、创新、质量、结构等方面取得显著成效，为“十四五”期间工业高质量发展奠定了坚实的基础。</w:t>
      </w:r>
    </w:p>
    <w:p w14:paraId="3630B1BF">
      <w:pPr>
        <w:spacing w:line="600" w:lineRule="exact"/>
        <w:ind w:firstLine="643" w:firstLineChars="200"/>
        <w:outlineLvl w:val="1"/>
        <w:rPr>
          <w:rFonts w:ascii="楷体" w:hAnsi="楷体" w:eastAsia="楷体" w:cs="楷体"/>
          <w:b/>
          <w:kern w:val="0"/>
          <w:sz w:val="32"/>
          <w:szCs w:val="32"/>
        </w:rPr>
      </w:pPr>
      <w:bookmarkStart w:id="61" w:name="_Toc18726"/>
      <w:bookmarkStart w:id="62" w:name="_Toc23400"/>
      <w:bookmarkStart w:id="63" w:name="_Toc104"/>
      <w:bookmarkStart w:id="64" w:name="_Toc29162"/>
      <w:bookmarkStart w:id="65" w:name="_Toc31576"/>
      <w:bookmarkStart w:id="66" w:name="_Toc21060"/>
      <w:bookmarkStart w:id="67" w:name="_Toc32410"/>
      <w:bookmarkStart w:id="68" w:name="_Toc21386"/>
      <w:bookmarkStart w:id="69" w:name="_Toc6649"/>
      <w:bookmarkStart w:id="70" w:name="_Toc11120"/>
      <w:bookmarkStart w:id="71" w:name="_Toc18258"/>
      <w:bookmarkStart w:id="72" w:name="_Toc26194"/>
      <w:bookmarkStart w:id="73" w:name="_Toc9252"/>
      <w:bookmarkStart w:id="74" w:name="_Toc11282"/>
      <w:r>
        <w:rPr>
          <w:rFonts w:hint="eastAsia" w:ascii="楷体" w:hAnsi="楷体" w:eastAsia="楷体" w:cs="楷体"/>
          <w:b/>
          <w:kern w:val="0"/>
          <w:sz w:val="32"/>
          <w:szCs w:val="32"/>
        </w:rPr>
        <w:t>（一）发展</w:t>
      </w:r>
      <w:bookmarkEnd w:id="60"/>
      <w:bookmarkEnd w:id="61"/>
      <w:bookmarkEnd w:id="62"/>
      <w:bookmarkEnd w:id="63"/>
      <w:r>
        <w:rPr>
          <w:rFonts w:hint="eastAsia" w:ascii="楷体" w:hAnsi="楷体" w:eastAsia="楷体" w:cs="楷体"/>
          <w:b/>
          <w:kern w:val="0"/>
          <w:sz w:val="32"/>
          <w:szCs w:val="32"/>
        </w:rPr>
        <w:t>现状</w:t>
      </w:r>
      <w:bookmarkEnd w:id="64"/>
      <w:bookmarkEnd w:id="65"/>
      <w:bookmarkEnd w:id="66"/>
      <w:bookmarkEnd w:id="67"/>
      <w:bookmarkEnd w:id="68"/>
      <w:bookmarkEnd w:id="69"/>
      <w:bookmarkEnd w:id="70"/>
      <w:bookmarkEnd w:id="71"/>
      <w:bookmarkEnd w:id="72"/>
      <w:bookmarkEnd w:id="73"/>
      <w:bookmarkEnd w:id="74"/>
    </w:p>
    <w:p w14:paraId="6D718B2E">
      <w:pPr>
        <w:spacing w:line="600" w:lineRule="exact"/>
        <w:ind w:firstLine="643" w:firstLineChars="200"/>
        <w:outlineLvl w:val="2"/>
        <w:rPr>
          <w:rFonts w:ascii="仿宋_GB2312" w:hAnsi="仿宋_GB2312" w:eastAsia="仿宋_GB2312" w:cs="仿宋_GB2312"/>
          <w:b/>
          <w:sz w:val="32"/>
          <w:szCs w:val="32"/>
        </w:rPr>
      </w:pPr>
      <w:bookmarkStart w:id="75" w:name="_Toc10028"/>
      <w:r>
        <w:rPr>
          <w:rFonts w:hint="eastAsia" w:ascii="仿宋_GB2312" w:hAnsi="仿宋_GB2312" w:eastAsia="仿宋_GB2312" w:cs="仿宋_GB2312"/>
          <w:b/>
          <w:sz w:val="32"/>
          <w:szCs w:val="32"/>
        </w:rPr>
        <w:t>1.发展成效</w:t>
      </w:r>
    </w:p>
    <w:p w14:paraId="2A8CB7CD">
      <w:pPr>
        <w:spacing w:line="600" w:lineRule="exact"/>
        <w:ind w:firstLine="643" w:firstLineChars="200"/>
        <w:outlineLvl w:val="3"/>
        <w:rPr>
          <w:rFonts w:ascii="仿宋_GB2312" w:hAnsi="仿宋_GB2312" w:eastAsia="仿宋_GB2312" w:cs="仿宋_GB2312"/>
          <w:b/>
          <w:sz w:val="32"/>
          <w:szCs w:val="32"/>
        </w:rPr>
      </w:pPr>
      <w:r>
        <w:rPr>
          <w:rFonts w:hint="eastAsia" w:ascii="仿宋_GB2312" w:hAnsi="仿宋_GB2312" w:eastAsia="仿宋_GB2312" w:cs="仿宋_GB2312"/>
          <w:b/>
          <w:sz w:val="32"/>
          <w:szCs w:val="32"/>
        </w:rPr>
        <w:t>（1）工业</w:t>
      </w:r>
      <w:bookmarkEnd w:id="75"/>
      <w:r>
        <w:rPr>
          <w:rFonts w:hint="eastAsia" w:ascii="仿宋_GB2312" w:hAnsi="仿宋_GB2312" w:eastAsia="仿宋_GB2312" w:cs="仿宋_GB2312"/>
          <w:b/>
          <w:sz w:val="32"/>
          <w:szCs w:val="32"/>
        </w:rPr>
        <w:t>发展量质齐升</w:t>
      </w:r>
    </w:p>
    <w:p w14:paraId="4974299D">
      <w:pPr>
        <w:pStyle w:val="23"/>
        <w:spacing w:line="600" w:lineRule="exact"/>
        <w:ind w:left="0" w:leftChars="0" w:firstLine="643"/>
      </w:pPr>
      <w:r>
        <w:rPr>
          <w:rFonts w:hint="eastAsia" w:ascii="仿宋_GB2312" w:hAnsi="仿宋_GB2312" w:eastAsia="仿宋_GB2312" w:cs="仿宋_GB2312"/>
          <w:b/>
          <w:sz w:val="32"/>
          <w:szCs w:val="32"/>
        </w:rPr>
        <w:t>工业总量争先进位</w:t>
      </w:r>
      <w:r>
        <w:rPr>
          <w:rFonts w:hint="eastAsia" w:ascii="仿宋_GB2312" w:hAnsi="仿宋_GB2312" w:eastAsia="仿宋_GB2312" w:cs="仿宋_GB2312"/>
          <w:bCs/>
          <w:sz w:val="32"/>
          <w:szCs w:val="32"/>
        </w:rPr>
        <w:t>，全市规模以上工业增加值总量在全省的比重由2015年的5.1%上升到2020年的7.1%，位次由第7位上升到第5位。</w:t>
      </w:r>
      <w:r>
        <w:rPr>
          <w:rFonts w:hint="eastAsia" w:ascii="仿宋_GB2312" w:hAnsi="仿宋_GB2312" w:eastAsia="仿宋_GB2312" w:cs="仿宋_GB2312"/>
          <w:b/>
          <w:sz w:val="32"/>
          <w:szCs w:val="32"/>
        </w:rPr>
        <w:t>工业增速稳中靠前</w:t>
      </w:r>
      <w:r>
        <w:rPr>
          <w:rFonts w:hint="eastAsia" w:ascii="仿宋_GB2312" w:hAnsi="仿宋_GB2312" w:eastAsia="仿宋_GB2312" w:cs="仿宋_GB2312"/>
          <w:bCs/>
          <w:sz w:val="32"/>
          <w:szCs w:val="32"/>
        </w:rPr>
        <w:t>，全市规模以上工业增加值年均增长9.2%，高于全省1.2个百分点，位列全省第3位；</w:t>
      </w:r>
      <w:r>
        <w:rPr>
          <w:rFonts w:hint="eastAsia" w:ascii="Times New Roman" w:hAnsi="Times New Roman" w:eastAsia="仿宋_GB2312" w:cs="宋体"/>
          <w:color w:val="000000"/>
          <w:sz w:val="32"/>
          <w:szCs w:val="32"/>
          <w:shd w:val="clear" w:color="auto" w:fill="FFFFFF"/>
        </w:rPr>
        <w:t>工业投</w:t>
      </w:r>
      <w:r>
        <w:rPr>
          <w:rFonts w:hint="eastAsia" w:ascii="仿宋_GB2312" w:hAnsi="仿宋_GB2312" w:eastAsia="仿宋_GB2312" w:cs="仿宋_GB2312"/>
          <w:bCs/>
          <w:sz w:val="32"/>
          <w:szCs w:val="32"/>
        </w:rPr>
        <w:t>资年均增长14.4%，</w:t>
      </w:r>
      <w:r>
        <w:rPr>
          <w:rFonts w:hint="eastAsia" w:ascii="Times New Roman" w:hAnsi="Times New Roman" w:eastAsia="仿宋_GB2312" w:cs="宋体"/>
          <w:color w:val="000000"/>
          <w:sz w:val="32"/>
          <w:szCs w:val="32"/>
          <w:shd w:val="clear" w:color="auto" w:fill="FFFFFF"/>
        </w:rPr>
        <w:t>居全省</w:t>
      </w:r>
      <w:r>
        <w:rPr>
          <w:rFonts w:hint="eastAsia" w:ascii="仿宋_GB2312" w:hAnsi="仿宋_GB2312" w:eastAsia="仿宋_GB2312" w:cs="仿宋_GB2312"/>
          <w:bCs/>
          <w:sz w:val="32"/>
          <w:szCs w:val="32"/>
        </w:rPr>
        <w:t>第4位。</w:t>
      </w:r>
      <w:r>
        <w:rPr>
          <w:rFonts w:hint="eastAsia" w:ascii="仿宋_GB2312" w:hAnsi="仿宋_GB2312" w:eastAsia="仿宋_GB2312" w:cs="仿宋_GB2312"/>
          <w:b/>
          <w:bCs/>
          <w:sz w:val="32"/>
          <w:szCs w:val="32"/>
        </w:rPr>
        <w:t>工业效益显著提高</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sz w:val="32"/>
          <w:szCs w:val="32"/>
        </w:rPr>
        <w:t>规模以上工业利润从2015年的82.34亿元上升到2020年的125.3亿元，是2015年的1.5倍。</w:t>
      </w:r>
      <w:r>
        <w:rPr>
          <w:rFonts w:hint="eastAsia" w:ascii="仿宋_GB2312" w:hAnsi="仿宋_GB2312" w:eastAsia="仿宋_GB2312" w:cs="仿宋_GB2312"/>
          <w:b/>
          <w:sz w:val="32"/>
          <w:szCs w:val="32"/>
        </w:rPr>
        <w:t>工业企业快速成长</w:t>
      </w:r>
      <w:r>
        <w:rPr>
          <w:rFonts w:hint="eastAsia" w:ascii="仿宋_GB2312" w:hAnsi="仿宋_GB2312" w:eastAsia="仿宋_GB2312" w:cs="仿宋_GB2312"/>
          <w:bCs/>
          <w:sz w:val="32"/>
          <w:szCs w:val="32"/>
        </w:rPr>
        <w:t>，年新增规模以上工业企业数量连续多年居全省前列，2020年规模以上工业企业发展到1657家</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居全省第四，华铂科技、天能集团（安徽）</w:t>
      </w:r>
      <w:r>
        <w:rPr>
          <w:rFonts w:hint="eastAsia" w:ascii="Times New Roman" w:hAnsi="Times New Roman" w:eastAsia="仿宋_GB2312" w:cs="仿宋_GB2312"/>
          <w:sz w:val="32"/>
          <w:szCs w:val="32"/>
        </w:rPr>
        <w:t>产值</w:t>
      </w:r>
      <w:r>
        <w:rPr>
          <w:rFonts w:hint="eastAsia" w:ascii="Times New Roman" w:hAnsi="Times New Roman" w:eastAsia="仿宋_GB2312" w:cs="仿宋_GB2312"/>
          <w:sz w:val="32"/>
          <w:szCs w:val="32"/>
          <w:lang w:val="en-US" w:eastAsia="zh-CN"/>
        </w:rPr>
        <w:t>超</w:t>
      </w:r>
      <w:r>
        <w:rPr>
          <w:rFonts w:hint="eastAsia" w:ascii="Times New Roman" w:hAnsi="Times New Roman" w:eastAsia="仿宋_GB2312" w:cs="仿宋_GB2312"/>
          <w:sz w:val="32"/>
          <w:szCs w:val="32"/>
        </w:rPr>
        <w:t>百亿元，35家</w:t>
      </w:r>
      <w:r>
        <w:rPr>
          <w:rFonts w:hint="eastAsia" w:ascii="Times New Roman" w:hAnsi="Times New Roman" w:eastAsia="仿宋_GB2312" w:cs="仿宋_GB2312"/>
          <w:sz w:val="32"/>
          <w:szCs w:val="32"/>
          <w:lang w:val="en-US" w:eastAsia="zh-CN"/>
        </w:rPr>
        <w:t>企业</w:t>
      </w:r>
      <w:r>
        <w:rPr>
          <w:rFonts w:hint="eastAsia" w:ascii="Times New Roman" w:hAnsi="Times New Roman" w:eastAsia="仿宋_GB2312" w:cs="仿宋_GB2312"/>
          <w:sz w:val="32"/>
          <w:szCs w:val="32"/>
        </w:rPr>
        <w:t>产值</w:t>
      </w:r>
      <w:r>
        <w:rPr>
          <w:rFonts w:hint="eastAsia" w:ascii="Times New Roman" w:hAnsi="Times New Roman" w:eastAsia="仿宋_GB2312" w:cs="仿宋_GB2312"/>
          <w:sz w:val="32"/>
          <w:szCs w:val="32"/>
          <w:lang w:val="en-US" w:eastAsia="zh-CN"/>
        </w:rPr>
        <w:t>超</w:t>
      </w:r>
      <w:r>
        <w:rPr>
          <w:rFonts w:hint="eastAsia" w:ascii="Times New Roman" w:hAnsi="Times New Roman" w:eastAsia="仿宋_GB2312" w:cs="仿宋_GB2312"/>
          <w:sz w:val="32"/>
          <w:szCs w:val="32"/>
        </w:rPr>
        <w:t>10亿元</w:t>
      </w:r>
      <w:r>
        <w:rPr>
          <w:rFonts w:hint="eastAsia" w:ascii="仿宋_GB2312" w:hAnsi="仿宋_GB2312" w:eastAsia="仿宋_GB2312" w:cs="仿宋_GB2312"/>
          <w:bCs/>
          <w:sz w:val="32"/>
          <w:szCs w:val="32"/>
        </w:rPr>
        <w:t>。</w:t>
      </w:r>
    </w:p>
    <w:p w14:paraId="645CE80D">
      <w:pPr>
        <w:pStyle w:val="8"/>
        <w:ind w:firstLine="0" w:firstLineChars="0"/>
        <w:jc w:val="center"/>
        <w:rPr>
          <w:rFonts w:hAnsi="仿宋_GB2312" w:cs="仿宋_GB2312"/>
          <w:b/>
          <w:sz w:val="32"/>
          <w:szCs w:val="32"/>
        </w:rPr>
      </w:pPr>
      <w:r>
        <w:rPr>
          <w:sz w:val="32"/>
        </w:rPr>
        <mc:AlternateContent>
          <mc:Choice Requires="wps">
            <w:drawing>
              <wp:anchor distT="0" distB="0" distL="114300" distR="114300" simplePos="0" relativeHeight="251661312" behindDoc="0" locked="0" layoutInCell="1" allowOverlap="1">
                <wp:simplePos x="0" y="0"/>
                <wp:positionH relativeFrom="column">
                  <wp:posOffset>329565</wp:posOffset>
                </wp:positionH>
                <wp:positionV relativeFrom="paragraph">
                  <wp:posOffset>57150</wp:posOffset>
                </wp:positionV>
                <wp:extent cx="4615815" cy="2865120"/>
                <wp:effectExtent l="4445" t="4445" r="8890" b="6985"/>
                <wp:wrapNone/>
                <wp:docPr id="9" name="矩形 9"/>
                <wp:cNvGraphicFramePr/>
                <a:graphic xmlns:a="http://schemas.openxmlformats.org/drawingml/2006/main">
                  <a:graphicData uri="http://schemas.microsoft.com/office/word/2010/wordprocessingShape">
                    <wps:wsp>
                      <wps:cNvSpPr/>
                      <wps:spPr>
                        <a:xfrm>
                          <a:off x="1472565" y="971550"/>
                          <a:ext cx="4615815" cy="2865120"/>
                        </a:xfrm>
                        <a:prstGeom prst="rect">
                          <a:avLst/>
                        </a:prstGeom>
                        <a:noFill/>
                        <a:ln w="3175">
                          <a:solidFill>
                            <a:schemeClr val="bg2">
                              <a:lumMod val="9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5.95pt;margin-top:4.5pt;height:225.6pt;width:363.45pt;z-index:251661312;v-text-anchor:middle;mso-width-relative:page;mso-height-relative:page;" filled="f" stroked="t" coordsize="21600,21600" o:gfxdata="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OUBB2dYAAAAIAQAADwAAAAAA&#10;AAABACAAAAAiAAAAZHJzL2Rvd25yZXYueG1sUEsBAhQAFAAAAAgAh07iQBui7iOHAgAA+AQAAA4A&#10;AAAAAAAAAQAgAAAAJQEAAGRycy9lMm9Eb2MueG1sUEsFBgAAAAAGAAYAWQEAAB4GAAAAAA==&#10;">
                <v:fill on="f" focussize="0,0"/>
                <v:stroke weight="0.25pt" color="#D0CECE [2894]" miterlimit="8" joinstyle="miter"/>
                <v:imagedata o:title=""/>
                <o:lock v:ext="edit" aspectratio="f"/>
              </v:rect>
            </w:pict>
          </mc:Fallback>
        </mc:AlternateContent>
      </w:r>
      <w:r>
        <w:rPr>
          <w:rFonts w:hint="eastAsia" w:hAnsi="仿宋_GB2312" w:cs="仿宋_GB2312"/>
          <w:b/>
          <w:sz w:val="32"/>
          <w:szCs w:val="32"/>
        </w:rPr>
        <w:drawing>
          <wp:inline distT="0" distB="0" distL="114300" distR="114300">
            <wp:extent cx="4565650" cy="2806065"/>
            <wp:effectExtent l="0" t="0" r="6350" b="13335"/>
            <wp:docPr id="2" name="图片 2" descr="2c23cc88814426ef062d8e34f5ccb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c23cc88814426ef062d8e34f5ccbd0"/>
                    <pic:cNvPicPr>
                      <a:picLocks noChangeAspect="1"/>
                    </pic:cNvPicPr>
                  </pic:nvPicPr>
                  <pic:blipFill>
                    <a:blip r:embed="rId12"/>
                    <a:stretch>
                      <a:fillRect/>
                    </a:stretch>
                  </pic:blipFill>
                  <pic:spPr>
                    <a:xfrm>
                      <a:off x="0" y="0"/>
                      <a:ext cx="4565650" cy="2806065"/>
                    </a:xfrm>
                    <a:prstGeom prst="rect">
                      <a:avLst/>
                    </a:prstGeom>
                  </pic:spPr>
                </pic:pic>
              </a:graphicData>
            </a:graphic>
          </wp:inline>
        </w:drawing>
      </w:r>
    </w:p>
    <w:p w14:paraId="3216A829">
      <w:pPr>
        <w:spacing w:line="600" w:lineRule="exact"/>
        <w:ind w:firstLine="482" w:firstLineChars="200"/>
        <w:jc w:val="center"/>
        <w:rPr>
          <w:rFonts w:hint="eastAsia" w:ascii="仿宋_GB2312" w:hAnsi="仿宋_GB2312" w:eastAsia="仿宋_GB2312" w:cs="仿宋_GB2312"/>
          <w:b/>
          <w:sz w:val="24"/>
        </w:rPr>
      </w:pPr>
      <w:r>
        <w:rPr>
          <w:rFonts w:hint="eastAsia" w:ascii="仿宋_GB2312" w:hAnsi="仿宋_GB2312" w:eastAsia="仿宋_GB2312" w:cs="仿宋_GB2312"/>
          <w:b/>
          <w:sz w:val="24"/>
        </w:rPr>
        <w:t>图1-1  “十三五”期间规模以上工业增加值增速和全省对比情况</w:t>
      </w:r>
    </w:p>
    <w:p w14:paraId="4C0F6CA7">
      <w:pPr>
        <w:spacing w:line="600" w:lineRule="exact"/>
        <w:jc w:val="center"/>
      </w:pPr>
      <w:bookmarkStart w:id="76" w:name="_Toc18037"/>
      <w:r>
        <w:drawing>
          <wp:anchor distT="0" distB="0" distL="114300" distR="114300" simplePos="0" relativeHeight="251659264" behindDoc="0" locked="0" layoutInCell="1" allowOverlap="1">
            <wp:simplePos x="0" y="0"/>
            <wp:positionH relativeFrom="column">
              <wp:posOffset>481330</wp:posOffset>
            </wp:positionH>
            <wp:positionV relativeFrom="paragraph">
              <wp:posOffset>160655</wp:posOffset>
            </wp:positionV>
            <wp:extent cx="4549140" cy="2453640"/>
            <wp:effectExtent l="4445" t="4445" r="18415" b="18415"/>
            <wp:wrapTopAndBottom/>
            <wp:docPr id="13"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bookmarkEnd w:id="76"/>
      <w:r>
        <w:rPr>
          <w:rFonts w:hint="eastAsia" w:ascii="仿宋_GB2312" w:hAnsi="仿宋_GB2312" w:eastAsia="仿宋_GB2312" w:cs="仿宋_GB2312"/>
          <w:b/>
          <w:sz w:val="24"/>
        </w:rPr>
        <w:t>图1-2  “十三五”期间规模以上工业利润情况</w:t>
      </w:r>
    </w:p>
    <w:p w14:paraId="68ACCF28">
      <w:pPr>
        <w:spacing w:line="600" w:lineRule="exact"/>
        <w:ind w:firstLine="643" w:firstLineChars="200"/>
        <w:outlineLvl w:val="3"/>
        <w:rPr>
          <w:rFonts w:ascii="仿宋_GB2312" w:hAnsi="仿宋_GB2312" w:eastAsia="仿宋_GB2312" w:cs="仿宋_GB2312"/>
          <w:b/>
          <w:sz w:val="32"/>
          <w:szCs w:val="32"/>
        </w:rPr>
      </w:pPr>
      <w:bookmarkStart w:id="77" w:name="_Toc9867"/>
      <w:r>
        <w:rPr>
          <w:rFonts w:hint="eastAsia" w:ascii="仿宋_GB2312" w:hAnsi="仿宋_GB2312" w:eastAsia="仿宋_GB2312" w:cs="仿宋_GB2312"/>
          <w:b/>
          <w:sz w:val="32"/>
          <w:szCs w:val="32"/>
        </w:rPr>
        <w:t>（2）转型升级有效推进</w:t>
      </w:r>
      <w:bookmarkEnd w:id="77"/>
    </w:p>
    <w:p w14:paraId="5E4BF7FE">
      <w:pPr>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智能</w:t>
      </w:r>
      <w:r>
        <w:rPr>
          <w:rFonts w:hint="eastAsia" w:ascii="仿宋_GB2312" w:hAnsi="仿宋_GB2312" w:eastAsia="仿宋_GB2312" w:cs="仿宋_GB2312"/>
          <w:b/>
          <w:bCs/>
          <w:sz w:val="32"/>
          <w:szCs w:val="32"/>
          <w:lang w:eastAsia="zh-CN"/>
        </w:rPr>
        <w:t>制造加速发展</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“十三五”期间，大力推动制造业加速向数字化、网络化、智能化发展。</w:t>
      </w:r>
      <w:r>
        <w:rPr>
          <w:rFonts w:hint="eastAsia" w:ascii="仿宋" w:hAnsi="仿宋" w:eastAsia="仿宋" w:cs="仿宋"/>
          <w:sz w:val="32"/>
          <w:szCs w:val="32"/>
        </w:rPr>
        <w:t>截至2020年，共有</w:t>
      </w:r>
      <w:r>
        <w:rPr>
          <w:rFonts w:hint="eastAsia" w:ascii="仿宋_GB2312" w:hAnsi="仿宋_GB2312" w:eastAsia="仿宋_GB2312" w:cs="仿宋_GB2312"/>
          <w:sz w:val="32"/>
          <w:szCs w:val="32"/>
        </w:rPr>
        <w:t>智能工厂和数字化车间</w:t>
      </w:r>
      <w:r>
        <w:rPr>
          <w:rFonts w:ascii="仿宋_GB2312" w:hAnsi="仿宋_GB2312" w:eastAsia="仿宋_GB2312" w:cs="仿宋_GB2312"/>
          <w:sz w:val="32"/>
          <w:szCs w:val="32"/>
        </w:rPr>
        <w:t>26</w:t>
      </w:r>
      <w:r>
        <w:rPr>
          <w:rFonts w:hint="eastAsia" w:ascii="仿宋_GB2312" w:hAnsi="仿宋_GB2312" w:eastAsia="仿宋_GB2312" w:cs="仿宋_GB2312"/>
          <w:sz w:val="32"/>
          <w:szCs w:val="32"/>
        </w:rPr>
        <w:t>个，</w:t>
      </w:r>
      <w:r>
        <w:rPr>
          <w:rFonts w:hint="eastAsia" w:ascii="仿宋" w:hAnsi="仿宋" w:eastAsia="仿宋" w:cs="仿宋"/>
          <w:sz w:val="32"/>
          <w:szCs w:val="32"/>
        </w:rPr>
        <w:t>智能制造项目6</w:t>
      </w:r>
      <w:r>
        <w:rPr>
          <w:rFonts w:hint="eastAsia" w:ascii="仿宋_GB2312" w:hAnsi="仿宋_GB2312" w:eastAsia="仿宋_GB2312" w:cs="仿宋_GB2312"/>
          <w:sz w:val="32"/>
          <w:szCs w:val="32"/>
        </w:rPr>
        <w:t>个，其中国家级智能制造项目1个。</w:t>
      </w:r>
      <w:r>
        <w:rPr>
          <w:rFonts w:hint="eastAsia" w:ascii="仿宋_GB2312" w:hAnsi="仿宋_GB2312" w:eastAsia="仿宋_GB2312" w:cs="仿宋_GB2312"/>
          <w:b/>
          <w:bCs/>
          <w:sz w:val="32"/>
          <w:szCs w:val="32"/>
          <w:lang w:eastAsia="zh-CN"/>
        </w:rPr>
        <w:t>两化融合深入推进，</w:t>
      </w:r>
      <w:r>
        <w:rPr>
          <w:rFonts w:hint="eastAsia" w:ascii="仿宋_GB2312" w:hAnsi="仿宋_GB2312" w:eastAsia="仿宋_GB2312" w:cs="仿宋_GB2312"/>
          <w:sz w:val="32"/>
          <w:szCs w:val="32"/>
        </w:rPr>
        <w:t>大力推广企业两化融合标准体系，全市6家企业获批国家级两化融合贯标试点，36家企业获批省级两化融合贯标试点，140余家企业通过两化融合贯标认证。</w:t>
      </w:r>
      <w:r>
        <w:rPr>
          <w:rFonts w:hint="eastAsia" w:ascii="仿宋_GB2312" w:hAnsi="仿宋_GB2312" w:eastAsia="仿宋_GB2312" w:cs="仿宋_GB2312"/>
          <w:b/>
          <w:bCs/>
          <w:sz w:val="32"/>
          <w:szCs w:val="32"/>
        </w:rPr>
        <w:t>绿色</w:t>
      </w:r>
      <w:r>
        <w:rPr>
          <w:rFonts w:hint="eastAsia" w:ascii="仿宋_GB2312" w:hAnsi="仿宋_GB2312" w:eastAsia="仿宋_GB2312" w:cs="仿宋_GB2312"/>
          <w:b/>
          <w:bCs/>
          <w:sz w:val="32"/>
          <w:szCs w:val="32"/>
          <w:lang w:eastAsia="zh-CN"/>
        </w:rPr>
        <w:t>发展成效显著</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单位工业增加值能耗持续下降，“十三五”期间，超额完成单位工业增加值能耗下降任务，提前三年</w:t>
      </w:r>
      <w:r>
        <w:rPr>
          <w:rFonts w:hint="eastAsia" w:ascii="仿宋_GB2312" w:hAnsi="宋体" w:eastAsia="仿宋_GB2312" w:cs="Times New Roman"/>
          <w:sz w:val="32"/>
          <w:szCs w:val="32"/>
        </w:rPr>
        <w:t>实现“十三五”期间下</w:t>
      </w:r>
      <w:r>
        <w:rPr>
          <w:rFonts w:hint="eastAsia" w:ascii="仿宋_GB2312" w:hAnsi="仿宋_GB2312" w:eastAsia="仿宋_GB2312" w:cs="仿宋_GB2312"/>
          <w:sz w:val="32"/>
          <w:szCs w:val="32"/>
        </w:rPr>
        <w:t>降18%的目标。绿色制造体系建设成效显著，获评国家级绿色设计产品14项、绿色工厂9家、绿色园区1个、绿色供应链管理企业3家，省级绿色工厂13家，数量居全省第一方阵，初步建成从绿色工厂、绿色工业园区、绿色供应链到绿色设计产品的完整体系。</w:t>
      </w:r>
    </w:p>
    <w:p w14:paraId="6C2257C1">
      <w:pPr>
        <w:spacing w:line="600" w:lineRule="exact"/>
        <w:ind w:firstLine="643" w:firstLineChars="200"/>
        <w:outlineLvl w:val="3"/>
        <w:rPr>
          <w:rFonts w:ascii="仿宋_GB2312" w:hAnsi="仿宋_GB2312" w:eastAsia="仿宋_GB2312" w:cs="仿宋_GB2312"/>
          <w:b/>
          <w:sz w:val="32"/>
          <w:szCs w:val="32"/>
        </w:rPr>
      </w:pPr>
      <w:bookmarkStart w:id="78" w:name="_Toc15212"/>
      <w:r>
        <w:rPr>
          <w:rFonts w:hint="eastAsia" w:ascii="仿宋_GB2312" w:hAnsi="仿宋_GB2312" w:eastAsia="仿宋_GB2312" w:cs="仿宋_GB2312"/>
          <w:b/>
          <w:sz w:val="32"/>
          <w:szCs w:val="32"/>
        </w:rPr>
        <w:t>（3）</w:t>
      </w:r>
      <w:r>
        <w:rPr>
          <w:rFonts w:ascii="仿宋_GB2312" w:hAnsi="仿宋_GB2312" w:eastAsia="仿宋_GB2312" w:cs="仿宋_GB2312"/>
          <w:b/>
          <w:sz w:val="32"/>
          <w:szCs w:val="32"/>
        </w:rPr>
        <w:t>集聚</w:t>
      </w:r>
      <w:r>
        <w:rPr>
          <w:rFonts w:hint="eastAsia" w:ascii="仿宋_GB2312" w:hAnsi="仿宋_GB2312" w:eastAsia="仿宋_GB2312" w:cs="仿宋_GB2312"/>
          <w:b/>
          <w:sz w:val="32"/>
          <w:szCs w:val="32"/>
        </w:rPr>
        <w:t>发展效果明显</w:t>
      </w:r>
      <w:bookmarkEnd w:id="78"/>
    </w:p>
    <w:p w14:paraId="7ACEE759">
      <w:pPr>
        <w:pStyle w:val="23"/>
        <w:spacing w:after="0" w:line="600" w:lineRule="exact"/>
        <w:ind w:left="0" w:leftChars="0" w:firstLine="640"/>
        <w:rPr>
          <w:rFonts w:ascii="Times New Roman" w:hAnsi="Times New Roman" w:eastAsia="仿宋_GB2312"/>
          <w:sz w:val="32"/>
          <w:szCs w:val="32"/>
        </w:rPr>
      </w:pPr>
      <w:r>
        <w:rPr>
          <w:rFonts w:hint="eastAsia" w:ascii="Times New Roman" w:hAnsi="Times New Roman" w:eastAsia="仿宋_GB2312"/>
          <w:sz w:val="32"/>
          <w:szCs w:val="32"/>
        </w:rPr>
        <w:t>目前，全市</w:t>
      </w:r>
      <w:r>
        <w:rPr>
          <w:rFonts w:ascii="Times New Roman" w:hAnsi="Times New Roman" w:eastAsia="仿宋_GB2312"/>
          <w:sz w:val="32"/>
          <w:szCs w:val="32"/>
        </w:rPr>
        <w:t>已形成1</w:t>
      </w:r>
      <w:r>
        <w:rPr>
          <w:rFonts w:hint="eastAsia" w:ascii="Times New Roman" w:hAnsi="Times New Roman" w:eastAsia="仿宋_GB2312"/>
          <w:sz w:val="32"/>
          <w:szCs w:val="32"/>
        </w:rPr>
        <w:t>9</w:t>
      </w:r>
      <w:r>
        <w:rPr>
          <w:rFonts w:ascii="Times New Roman" w:hAnsi="Times New Roman" w:eastAsia="仿宋_GB2312"/>
          <w:sz w:val="32"/>
          <w:szCs w:val="32"/>
        </w:rPr>
        <w:t>个产值30亿元以上产业集群</w:t>
      </w:r>
      <w:r>
        <w:rPr>
          <w:rFonts w:hint="eastAsia" w:ascii="Times New Roman" w:hAnsi="Times New Roman" w:eastAsia="仿宋_GB2312"/>
          <w:sz w:val="32"/>
          <w:szCs w:val="32"/>
        </w:rPr>
        <w:t>。2020年，节能环保、能源化工、绿色食品、装备制造、绿色建筑建材、现代医药、纺织服装七大产业总产值突破2500亿元，占全市规模以上工业总产值约93%。其中，节能环保产业成为全市首个超600亿元产业；能源化工、装备制造、现代医药等产业“十三五”期间产值增长均达百亿元左右。</w:t>
      </w:r>
      <w:r>
        <w:rPr>
          <w:rFonts w:ascii="Times New Roman" w:hAnsi="Times New Roman" w:eastAsia="仿宋_GB2312"/>
          <w:sz w:val="32"/>
          <w:szCs w:val="32"/>
        </w:rPr>
        <w:t>逐步形成阜阳经开区专用车与机械装备制造、阜合</w:t>
      </w:r>
      <w:r>
        <w:rPr>
          <w:rFonts w:hint="eastAsia" w:ascii="Times New Roman" w:hAnsi="Times New Roman" w:eastAsia="仿宋_GB2312"/>
          <w:sz w:val="32"/>
          <w:szCs w:val="32"/>
        </w:rPr>
        <w:t>现代</w:t>
      </w:r>
      <w:r>
        <w:rPr>
          <w:rFonts w:ascii="Times New Roman" w:hAnsi="Times New Roman" w:eastAsia="仿宋_GB2312"/>
          <w:sz w:val="32"/>
          <w:szCs w:val="32"/>
        </w:rPr>
        <w:t>产业园区汽车制造和</w:t>
      </w:r>
      <w:r>
        <w:rPr>
          <w:rFonts w:hint="eastAsia" w:ascii="Times New Roman" w:hAnsi="Times New Roman" w:eastAsia="仿宋_GB2312"/>
          <w:sz w:val="32"/>
          <w:szCs w:val="32"/>
        </w:rPr>
        <w:t>电子信息</w:t>
      </w:r>
      <w:r>
        <w:rPr>
          <w:rFonts w:ascii="Times New Roman" w:hAnsi="Times New Roman" w:eastAsia="仿宋_GB2312"/>
          <w:sz w:val="32"/>
          <w:szCs w:val="32"/>
        </w:rPr>
        <w:t>、颍泉智能装备制造、</w:t>
      </w:r>
      <w:r>
        <w:rPr>
          <w:rFonts w:hint="eastAsia" w:ascii="Times New Roman" w:hAnsi="Times New Roman" w:eastAsia="仿宋_GB2312"/>
          <w:sz w:val="32"/>
          <w:szCs w:val="32"/>
          <w:lang w:val="en-US" w:eastAsia="zh-CN"/>
        </w:rPr>
        <w:t>颍上长三角电子产业集群、颍上清洁新能源新材料特色材料集群、</w:t>
      </w:r>
      <w:r>
        <w:rPr>
          <w:rFonts w:ascii="Times New Roman" w:hAnsi="Times New Roman" w:eastAsia="仿宋_GB2312"/>
          <w:sz w:val="32"/>
          <w:szCs w:val="32"/>
        </w:rPr>
        <w:t>颍东食品及农副产品深加工、界首循环经济</w:t>
      </w:r>
      <w:r>
        <w:rPr>
          <w:rFonts w:hint="eastAsia" w:ascii="Times New Roman" w:hAnsi="Times New Roman" w:eastAsia="仿宋_GB2312"/>
          <w:sz w:val="32"/>
          <w:szCs w:val="32"/>
        </w:rPr>
        <w:t>、太和现代医药</w:t>
      </w:r>
      <w:r>
        <w:rPr>
          <w:rFonts w:ascii="Times New Roman" w:hAnsi="Times New Roman" w:eastAsia="仿宋_GB2312"/>
          <w:sz w:val="32"/>
          <w:szCs w:val="32"/>
        </w:rPr>
        <w:t>等特色产业集群。</w:t>
      </w:r>
    </w:p>
    <w:p w14:paraId="5E30C67E">
      <w:pPr>
        <w:pStyle w:val="23"/>
        <w:spacing w:after="0"/>
        <w:ind w:left="0" w:leftChars="0" w:firstLine="0" w:firstLineChars="0"/>
        <w:jc w:val="center"/>
      </w:pPr>
      <w:r>
        <w:drawing>
          <wp:inline distT="0" distB="0" distL="114300" distR="114300">
            <wp:extent cx="4697730" cy="2466340"/>
            <wp:effectExtent l="0" t="0" r="7620"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stretch>
                      <a:fillRect/>
                    </a:stretch>
                  </pic:blipFill>
                  <pic:spPr>
                    <a:xfrm>
                      <a:off x="0" y="0"/>
                      <a:ext cx="4697730" cy="2466340"/>
                    </a:xfrm>
                    <a:prstGeom prst="rect">
                      <a:avLst/>
                    </a:prstGeom>
                    <a:noFill/>
                    <a:ln>
                      <a:noFill/>
                    </a:ln>
                  </pic:spPr>
                </pic:pic>
              </a:graphicData>
            </a:graphic>
          </wp:inline>
        </w:drawing>
      </w:r>
    </w:p>
    <w:p w14:paraId="0ABB4F84">
      <w:pPr>
        <w:spacing w:line="600" w:lineRule="exact"/>
        <w:ind w:firstLine="482" w:firstLineChars="200"/>
        <w:jc w:val="center"/>
        <w:rPr>
          <w:rFonts w:ascii="仿宋_GB2312" w:hAnsi="仿宋_GB2312" w:eastAsia="仿宋_GB2312" w:cs="仿宋_GB2312"/>
          <w:b/>
          <w:sz w:val="24"/>
        </w:rPr>
      </w:pPr>
      <w:r>
        <w:rPr>
          <w:rFonts w:hint="eastAsia" w:ascii="仿宋_GB2312" w:hAnsi="仿宋_GB2312" w:eastAsia="仿宋_GB2312" w:cs="仿宋_GB2312"/>
          <w:b/>
          <w:sz w:val="24"/>
        </w:rPr>
        <w:t>图1-3  2020年重点工业产业发展情况（单位：亿元）</w:t>
      </w:r>
    </w:p>
    <w:p w14:paraId="5E33860D">
      <w:pPr>
        <w:pStyle w:val="23"/>
        <w:spacing w:after="0"/>
        <w:ind w:left="0" w:leftChars="0" w:firstLine="0" w:firstLineChars="0"/>
        <w:jc w:val="center"/>
      </w:pPr>
      <w:r>
        <w:drawing>
          <wp:inline distT="0" distB="0" distL="114300" distR="114300">
            <wp:extent cx="4473575" cy="2898775"/>
            <wp:effectExtent l="0" t="0" r="3175" b="1587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5"/>
                    <a:stretch>
                      <a:fillRect/>
                    </a:stretch>
                  </pic:blipFill>
                  <pic:spPr>
                    <a:xfrm>
                      <a:off x="0" y="0"/>
                      <a:ext cx="4473575" cy="2898775"/>
                    </a:xfrm>
                    <a:prstGeom prst="rect">
                      <a:avLst/>
                    </a:prstGeom>
                    <a:noFill/>
                    <a:ln>
                      <a:noFill/>
                    </a:ln>
                  </pic:spPr>
                </pic:pic>
              </a:graphicData>
            </a:graphic>
          </wp:inline>
        </w:drawing>
      </w:r>
    </w:p>
    <w:p w14:paraId="6037AE05">
      <w:pPr>
        <w:spacing w:line="600" w:lineRule="exact"/>
        <w:ind w:firstLine="482" w:firstLineChars="200"/>
        <w:jc w:val="center"/>
        <w:rPr>
          <w:rFonts w:ascii="仿宋_GB2312" w:hAnsi="仿宋_GB2312" w:eastAsia="仿宋_GB2312" w:cs="仿宋_GB2312"/>
          <w:b/>
          <w:sz w:val="24"/>
        </w:rPr>
      </w:pPr>
      <w:r>
        <w:rPr>
          <w:rFonts w:hint="eastAsia" w:ascii="仿宋_GB2312" w:hAnsi="仿宋_GB2312" w:eastAsia="仿宋_GB2312" w:cs="仿宋_GB2312"/>
          <w:b/>
          <w:sz w:val="24"/>
        </w:rPr>
        <w:t>图1-4  2015年与2020年重点工业产业发展情况对比（单位：亿元）</w:t>
      </w:r>
    </w:p>
    <w:p w14:paraId="04D47379">
      <w:pPr>
        <w:ind w:firstLine="643" w:firstLineChars="200"/>
        <w:outlineLvl w:val="3"/>
        <w:rPr>
          <w:rFonts w:ascii="仿宋_GB2312" w:hAnsi="仿宋_GB2312" w:eastAsia="仿宋_GB2312" w:cs="仿宋_GB2312"/>
          <w:b/>
          <w:sz w:val="32"/>
          <w:szCs w:val="32"/>
        </w:rPr>
      </w:pPr>
      <w:r>
        <w:rPr>
          <w:rFonts w:hint="eastAsia" w:ascii="仿宋_GB2312" w:hAnsi="仿宋_GB2312" w:eastAsia="仿宋_GB2312" w:cs="仿宋_GB2312"/>
          <w:b/>
          <w:sz w:val="32"/>
          <w:szCs w:val="32"/>
        </w:rPr>
        <w:t>（4）</w:t>
      </w:r>
      <w:bookmarkStart w:id="79" w:name="_Toc20623"/>
      <w:r>
        <w:rPr>
          <w:rFonts w:hint="eastAsia" w:ascii="仿宋_GB2312" w:hAnsi="仿宋_GB2312" w:eastAsia="仿宋_GB2312" w:cs="仿宋_GB2312"/>
          <w:b/>
          <w:sz w:val="32"/>
          <w:szCs w:val="32"/>
        </w:rPr>
        <w:t>创新体系日趋完善</w:t>
      </w:r>
      <w:bookmarkEnd w:id="79"/>
    </w:p>
    <w:p w14:paraId="4000C2E7">
      <w:pPr>
        <w:pStyle w:val="23"/>
        <w:spacing w:after="0" w:line="600" w:lineRule="exact"/>
        <w:ind w:left="0" w:leftChars="0" w:firstLine="643"/>
        <w:rPr>
          <w:rFonts w:ascii="仿宋_GB2312" w:hAnsi="仿宋_GB2312" w:eastAsia="仿宋_GB2312" w:cs="仿宋_GB2312"/>
          <w:bCs/>
          <w:sz w:val="32"/>
          <w:szCs w:val="32"/>
        </w:rPr>
      </w:pPr>
      <w:r>
        <w:rPr>
          <w:rFonts w:hint="eastAsia" w:ascii="Times New Roman" w:hAnsi="Times New Roman" w:eastAsia="仿宋_GB2312"/>
          <w:b/>
          <w:bCs/>
          <w:sz w:val="32"/>
          <w:szCs w:val="32"/>
        </w:rPr>
        <w:t>企业创新能力不断增强</w:t>
      </w:r>
      <w:r>
        <w:rPr>
          <w:rFonts w:hint="eastAsia" w:ascii="Times New Roman" w:hAnsi="Times New Roman" w:eastAsia="仿宋_GB2312"/>
          <w:sz w:val="32"/>
          <w:szCs w:val="32"/>
        </w:rPr>
        <w:t>，截至2020年，共获得</w:t>
      </w:r>
      <w:r>
        <w:rPr>
          <w:rFonts w:hint="eastAsia" w:ascii="仿宋_GB2312" w:hAnsi="宋体" w:eastAsia="仿宋_GB2312" w:cs="Times New Roman"/>
          <w:sz w:val="32"/>
          <w:szCs w:val="32"/>
        </w:rPr>
        <w:t>国家技术创新示范企业1家，国家级专精特新“小巨人”企业5家，省级</w:t>
      </w:r>
      <w:r>
        <w:rPr>
          <w:rFonts w:hint="eastAsia" w:ascii="仿宋_GB2312" w:hAnsi="宋体" w:eastAsia="仿宋_GB2312" w:cs="Times New Roman"/>
          <w:sz w:val="32"/>
          <w:szCs w:val="32"/>
          <w:lang w:eastAsia="zh-CN"/>
        </w:rPr>
        <w:t>“</w:t>
      </w:r>
      <w:r>
        <w:rPr>
          <w:rFonts w:hint="eastAsia" w:ascii="仿宋_GB2312" w:hAnsi="宋体" w:eastAsia="仿宋_GB2312" w:cs="Times New Roman"/>
          <w:sz w:val="32"/>
          <w:szCs w:val="32"/>
        </w:rPr>
        <w:t>专精特新</w:t>
      </w:r>
      <w:r>
        <w:rPr>
          <w:rFonts w:hint="eastAsia" w:ascii="仿宋_GB2312" w:hAnsi="宋体" w:eastAsia="仿宋_GB2312" w:cs="Times New Roman"/>
          <w:sz w:val="32"/>
          <w:szCs w:val="32"/>
          <w:lang w:eastAsia="zh-CN"/>
        </w:rPr>
        <w:t>”</w:t>
      </w:r>
      <w:r>
        <w:rPr>
          <w:rFonts w:hint="eastAsia" w:ascii="仿宋_GB2312" w:hAnsi="宋体" w:eastAsia="仿宋_GB2312" w:cs="Times New Roman"/>
          <w:sz w:val="32"/>
          <w:szCs w:val="32"/>
          <w:lang w:val="en-US" w:eastAsia="zh-CN"/>
        </w:rPr>
        <w:t>中小</w:t>
      </w:r>
      <w:r>
        <w:rPr>
          <w:rFonts w:hint="eastAsia" w:ascii="仿宋_GB2312" w:hAnsi="宋体" w:eastAsia="仿宋_GB2312" w:cs="Times New Roman"/>
          <w:sz w:val="32"/>
          <w:szCs w:val="32"/>
        </w:rPr>
        <w:t>企业205家。</w:t>
      </w:r>
      <w:r>
        <w:rPr>
          <w:rFonts w:hint="eastAsia" w:ascii="仿宋_GB2312" w:hAnsi="仿宋_GB2312" w:eastAsia="仿宋_GB2312" w:cs="仿宋_GB2312"/>
          <w:b/>
          <w:sz w:val="32"/>
          <w:szCs w:val="32"/>
        </w:rPr>
        <w:t>创新平台能级不断提升</w:t>
      </w:r>
      <w:r>
        <w:rPr>
          <w:rFonts w:hint="eastAsia" w:ascii="仿宋_GB2312" w:hAnsi="仿宋_GB2312" w:eastAsia="仿宋_GB2312" w:cs="仿宋_GB2312"/>
          <w:bCs/>
          <w:sz w:val="32"/>
          <w:szCs w:val="32"/>
        </w:rPr>
        <w:t>，全市建有国家火炬特色产业基地3个、国家级和省级高新技术产业基地各1个；</w:t>
      </w:r>
      <w:r>
        <w:rPr>
          <w:rFonts w:hint="eastAsia" w:ascii="仿宋_GB2312" w:hAnsi="宋体" w:eastAsia="仿宋_GB2312" w:cs="Times New Roman"/>
          <w:sz w:val="32"/>
          <w:szCs w:val="32"/>
        </w:rPr>
        <w:t>省级制造业创新中心4家，省级企业技术中心115家，省级工业设计中心20家，</w:t>
      </w:r>
      <w:r>
        <w:rPr>
          <w:rFonts w:hint="eastAsia" w:ascii="仿宋_GB2312" w:hAnsi="仿宋_GB2312" w:eastAsia="仿宋_GB2312" w:cs="仿宋_GB2312"/>
          <w:bCs/>
          <w:sz w:val="32"/>
          <w:szCs w:val="32"/>
        </w:rPr>
        <w:t>贝克制药、天能电池分别获批国家企业技术中心和分中心，实现国家级研发平台零的突破</w:t>
      </w:r>
      <w:r>
        <w:rPr>
          <w:rFonts w:hint="eastAsia" w:ascii="仿宋_GB2312" w:hAnsi="仿宋_GB2312" w:eastAsia="仿宋_GB2312" w:cs="仿宋_GB2312"/>
          <w:bCs/>
          <w:sz w:val="32"/>
          <w:szCs w:val="32"/>
          <w:lang w:eastAsia="zh-CN"/>
        </w:rPr>
        <w:t>；院士工作站</w:t>
      </w:r>
      <w:r>
        <w:rPr>
          <w:rFonts w:hint="eastAsia" w:ascii="仿宋_GB2312" w:hAnsi="仿宋_GB2312" w:eastAsia="仿宋_GB2312" w:cs="仿宋_GB2312"/>
          <w:bCs/>
          <w:sz w:val="32"/>
          <w:szCs w:val="32"/>
          <w:lang w:val="en-US" w:eastAsia="zh-CN"/>
        </w:rPr>
        <w:t>4家，</w:t>
      </w:r>
      <w:r>
        <w:rPr>
          <w:rFonts w:hint="eastAsia" w:ascii="仿宋_GB2312" w:hAnsi="仿宋_GB2312" w:eastAsia="仿宋_GB2312" w:cs="仿宋_GB2312"/>
          <w:bCs/>
          <w:sz w:val="32"/>
          <w:szCs w:val="32"/>
        </w:rPr>
        <w:t>省级</w:t>
      </w:r>
      <w:r>
        <w:rPr>
          <w:rFonts w:hint="eastAsia" w:ascii="仿宋_GB2312" w:hAnsi="仿宋_GB2312" w:eastAsia="仿宋_GB2312" w:cs="仿宋_GB2312"/>
          <w:bCs/>
          <w:sz w:val="32"/>
          <w:szCs w:val="32"/>
          <w:lang w:eastAsia="zh-CN"/>
        </w:rPr>
        <w:t>及以上</w:t>
      </w:r>
      <w:r>
        <w:rPr>
          <w:rFonts w:hint="eastAsia" w:ascii="仿宋_GB2312" w:hAnsi="仿宋_GB2312" w:eastAsia="仿宋_GB2312" w:cs="仿宋_GB2312"/>
          <w:bCs/>
          <w:sz w:val="32"/>
          <w:szCs w:val="32"/>
        </w:rPr>
        <w:t>博士后科研工作站</w:t>
      </w:r>
      <w:r>
        <w:rPr>
          <w:rFonts w:hint="eastAsia" w:ascii="仿宋_GB2312" w:hAnsi="仿宋_GB2312" w:eastAsia="仿宋_GB2312" w:cs="仿宋_GB2312"/>
          <w:bCs/>
          <w:sz w:val="32"/>
          <w:szCs w:val="32"/>
          <w:lang w:val="en-US" w:eastAsia="zh-CN"/>
        </w:rPr>
        <w:t>23家。</w:t>
      </w:r>
      <w:r>
        <w:rPr>
          <w:rFonts w:hint="eastAsia" w:ascii="仿宋_GB2312" w:hAnsi="仿宋_GB2312" w:eastAsia="仿宋_GB2312" w:cs="仿宋_GB2312"/>
          <w:b/>
          <w:sz w:val="32"/>
          <w:szCs w:val="32"/>
        </w:rPr>
        <w:t>技术创新取得</w:t>
      </w:r>
      <w:r>
        <w:rPr>
          <w:rFonts w:hint="eastAsia" w:ascii="仿宋_GB2312" w:hAnsi="仿宋_GB2312" w:eastAsia="仿宋_GB2312" w:cs="仿宋_GB2312"/>
          <w:b/>
          <w:sz w:val="32"/>
          <w:szCs w:val="32"/>
          <w:lang w:val="en-US" w:eastAsia="zh-CN"/>
        </w:rPr>
        <w:t>较大进步</w:t>
      </w:r>
      <w:r>
        <w:rPr>
          <w:rFonts w:hint="eastAsia" w:ascii="仿宋_GB2312" w:hAnsi="仿宋_GB2312" w:eastAsia="仿宋_GB2312" w:cs="仿宋_GB2312"/>
          <w:bCs/>
          <w:sz w:val="32"/>
          <w:szCs w:val="32"/>
        </w:rPr>
        <w:t>，大力加强关键技术攻关，累计实施科技重大专项、重点研发项目200余项，在新材料、新能源、装备制造、现代医药等多个领域均取得了一批原创性科技成果。</w:t>
      </w:r>
    </w:p>
    <w:p w14:paraId="30D4306A">
      <w:pPr>
        <w:pStyle w:val="23"/>
        <w:spacing w:after="0" w:line="600" w:lineRule="exact"/>
        <w:ind w:left="0" w:leftChars="0" w:firstLine="643"/>
        <w:outlineLvl w:val="3"/>
        <w:rPr>
          <w:rFonts w:ascii="仿宋_GB2312" w:hAnsi="仿宋_GB2312" w:eastAsia="仿宋_GB2312" w:cs="仿宋_GB2312"/>
          <w:b/>
          <w:sz w:val="32"/>
          <w:szCs w:val="32"/>
        </w:rPr>
      </w:pPr>
      <w:bookmarkStart w:id="80" w:name="_Toc31809"/>
      <w:r>
        <w:rPr>
          <w:rFonts w:hint="eastAsia" w:ascii="仿宋_GB2312" w:hAnsi="仿宋_GB2312" w:eastAsia="仿宋_GB2312" w:cs="仿宋_GB2312"/>
          <w:b/>
          <w:sz w:val="32"/>
          <w:szCs w:val="32"/>
        </w:rPr>
        <w:t>（5）县域</w:t>
      </w:r>
      <w:r>
        <w:rPr>
          <w:rFonts w:hint="eastAsia" w:ascii="仿宋_GB2312" w:hAnsi="仿宋_GB2312" w:eastAsia="仿宋_GB2312" w:cs="仿宋_GB2312"/>
          <w:b/>
          <w:sz w:val="32"/>
          <w:szCs w:val="32"/>
          <w:lang w:eastAsia="zh-CN"/>
        </w:rPr>
        <w:t>特色产业提质增效</w:t>
      </w:r>
      <w:bookmarkEnd w:id="80"/>
    </w:p>
    <w:p w14:paraId="0C2BB0F3">
      <w:pPr>
        <w:spacing w:line="600" w:lineRule="exact"/>
        <w:ind w:firstLine="643" w:firstLineChars="200"/>
        <w:rPr>
          <w:rFonts w:ascii="仿宋_GB2312" w:hAnsi="仿宋_GB2312" w:eastAsia="仿宋_GB2312" w:cs="仿宋_GB2312"/>
          <w:bCs/>
          <w:sz w:val="32"/>
          <w:szCs w:val="32"/>
        </w:rPr>
      </w:pPr>
      <w:bookmarkStart w:id="81" w:name="_Toc13302"/>
      <w:r>
        <w:rPr>
          <w:rFonts w:hint="eastAsia" w:ascii="仿宋_GB2312" w:hAnsi="仿宋_GB2312" w:eastAsia="仿宋_GB2312" w:cs="仿宋_GB2312"/>
          <w:b/>
          <w:sz w:val="32"/>
          <w:szCs w:val="32"/>
        </w:rPr>
        <w:t>界首</w:t>
      </w:r>
      <w:r>
        <w:rPr>
          <w:rFonts w:hint="eastAsia" w:ascii="仿宋_GB2312" w:hAnsi="仿宋_GB2312" w:eastAsia="仿宋_GB2312" w:cs="仿宋_GB2312"/>
          <w:b/>
          <w:sz w:val="32"/>
          <w:szCs w:val="32"/>
          <w:lang w:eastAsia="zh-CN"/>
        </w:rPr>
        <w:t>资源循环利用产业特色鲜明</w:t>
      </w:r>
      <w:r>
        <w:rPr>
          <w:rFonts w:hint="eastAsia" w:ascii="仿宋_GB2312" w:hAnsi="仿宋_GB2312" w:eastAsia="仿宋_GB2312" w:cs="仿宋_GB2312"/>
          <w:b/>
          <w:sz w:val="32"/>
          <w:szCs w:val="32"/>
        </w:rPr>
        <w:t>。</w:t>
      </w:r>
      <w:r>
        <w:rPr>
          <w:rFonts w:hint="eastAsia" w:ascii="仿宋_GB2312" w:hAnsi="仿宋_GB2312" w:eastAsia="仿宋_GB2312" w:cs="仿宋_GB2312"/>
          <w:bCs/>
          <w:sz w:val="32"/>
          <w:szCs w:val="32"/>
        </w:rPr>
        <w:t>界首高新区</w:t>
      </w:r>
      <w:r>
        <w:rPr>
          <w:rFonts w:hint="eastAsia" w:ascii="仿宋_GB2312" w:hAnsi="仿宋_GB2312" w:eastAsia="仿宋_GB2312" w:cs="仿宋_GB2312"/>
          <w:bCs/>
          <w:sz w:val="32"/>
          <w:szCs w:val="32"/>
          <w:lang w:eastAsia="zh-CN"/>
        </w:rPr>
        <w:t>资源循环利用产业</w:t>
      </w:r>
      <w:r>
        <w:rPr>
          <w:rFonts w:hint="eastAsia" w:ascii="仿宋_GB2312" w:hAnsi="仿宋_GB2312" w:eastAsia="仿宋_GB2312" w:cs="仿宋_GB2312"/>
          <w:bCs/>
          <w:sz w:val="32"/>
          <w:szCs w:val="32"/>
        </w:rPr>
        <w:t>2018年获批国家新型工业化产业示范基地，连续两年获得五星级评价。</w:t>
      </w:r>
      <w:r>
        <w:rPr>
          <w:rFonts w:hint="eastAsia" w:ascii="仿宋_GB2312" w:hAnsi="仿宋_GB2312" w:eastAsia="仿宋_GB2312" w:cs="仿宋_GB2312"/>
          <w:b/>
          <w:sz w:val="32"/>
          <w:szCs w:val="32"/>
        </w:rPr>
        <w:t>太和</w:t>
      </w:r>
      <w:r>
        <w:rPr>
          <w:rFonts w:hint="eastAsia" w:ascii="仿宋_GB2312" w:hAnsi="仿宋_GB2312" w:eastAsia="仿宋_GB2312" w:cs="仿宋_GB2312"/>
          <w:b/>
          <w:sz w:val="32"/>
          <w:szCs w:val="32"/>
          <w:lang w:eastAsia="zh-CN"/>
        </w:rPr>
        <w:t>现代医药</w:t>
      </w:r>
      <w:r>
        <w:rPr>
          <w:rFonts w:hint="eastAsia" w:ascii="仿宋_GB2312" w:hAnsi="仿宋_GB2312" w:eastAsia="仿宋_GB2312" w:cs="仿宋_GB2312"/>
          <w:b/>
          <w:sz w:val="32"/>
          <w:szCs w:val="32"/>
          <w:lang w:val="en-US" w:eastAsia="zh-CN"/>
        </w:rPr>
        <w:t>产业发展成效突出</w:t>
      </w:r>
      <w:r>
        <w:rPr>
          <w:rFonts w:hint="eastAsia" w:ascii="仿宋_GB2312" w:hAnsi="仿宋_GB2312" w:eastAsia="仿宋_GB2312" w:cs="仿宋_GB2312"/>
          <w:b/>
          <w:sz w:val="32"/>
          <w:szCs w:val="32"/>
        </w:rPr>
        <w:t>。</w:t>
      </w:r>
      <w:r>
        <w:rPr>
          <w:rFonts w:hint="eastAsia" w:ascii="仿宋_GB2312" w:hAnsi="仿宋_GB2312" w:eastAsia="仿宋_GB2312" w:cs="仿宋_GB2312"/>
          <w:bCs/>
          <w:sz w:val="32"/>
          <w:szCs w:val="32"/>
        </w:rPr>
        <w:t>太和现代医药产业集聚发展基地是全省首批14个战略性新兴产业集聚发展基地之一，2019年获批安徽中印（太和）国际医药合作先行示范产业园。</w:t>
      </w:r>
      <w:r>
        <w:rPr>
          <w:rFonts w:hint="eastAsia" w:ascii="仿宋_GB2312" w:hAnsi="仿宋_GB2312" w:eastAsia="仿宋_GB2312" w:cs="仿宋_GB2312"/>
          <w:b/>
          <w:sz w:val="32"/>
          <w:szCs w:val="32"/>
        </w:rPr>
        <w:t>阜南</w:t>
      </w:r>
      <w:r>
        <w:rPr>
          <w:rFonts w:hint="eastAsia" w:ascii="仿宋_GB2312" w:hAnsi="仿宋_GB2312" w:eastAsia="仿宋_GB2312" w:cs="仿宋_GB2312"/>
          <w:b/>
          <w:sz w:val="32"/>
          <w:szCs w:val="32"/>
          <w:lang w:eastAsia="zh-CN"/>
        </w:rPr>
        <w:t>柳木加工产业优势显现</w:t>
      </w:r>
      <w:r>
        <w:rPr>
          <w:rFonts w:hint="eastAsia" w:ascii="仿宋_GB2312" w:hAnsi="仿宋_GB2312" w:eastAsia="仿宋_GB2312" w:cs="仿宋_GB2312"/>
          <w:b/>
          <w:sz w:val="32"/>
          <w:szCs w:val="32"/>
        </w:rPr>
        <w:t>。</w:t>
      </w:r>
      <w:r>
        <w:rPr>
          <w:rFonts w:hint="eastAsia" w:ascii="仿宋_GB2312" w:hAnsi="仿宋_GB2312" w:eastAsia="仿宋_GB2312" w:cs="仿宋_GB2312"/>
          <w:bCs/>
          <w:sz w:val="32"/>
          <w:szCs w:val="32"/>
        </w:rPr>
        <w:t>阜南县柳木特色产业集群（基地）2019年被列入全省县域特色产业集群，再度获评“中国柳编之都”。</w:t>
      </w:r>
      <w:r>
        <w:rPr>
          <w:rFonts w:hint="eastAsia" w:ascii="仿宋_GB2312" w:hAnsi="仿宋_GB2312" w:eastAsia="仿宋_GB2312" w:cs="仿宋_GB2312"/>
          <w:b/>
          <w:sz w:val="32"/>
          <w:szCs w:val="32"/>
        </w:rPr>
        <w:t>颍上</w:t>
      </w:r>
      <w:r>
        <w:rPr>
          <w:rFonts w:hint="eastAsia" w:ascii="仿宋_GB2312" w:hAnsi="仿宋_GB2312" w:eastAsia="仿宋_GB2312" w:cs="仿宋_GB2312"/>
          <w:b/>
          <w:sz w:val="32"/>
          <w:szCs w:val="32"/>
          <w:lang w:eastAsia="zh-CN"/>
        </w:rPr>
        <w:t>能源化工</w:t>
      </w:r>
      <w:r>
        <w:rPr>
          <w:rFonts w:hint="eastAsia" w:ascii="仿宋_GB2312" w:hAnsi="仿宋_GB2312" w:eastAsia="仿宋_GB2312" w:cs="仿宋_GB2312"/>
          <w:b/>
          <w:sz w:val="32"/>
          <w:szCs w:val="32"/>
        </w:rPr>
        <w:t>产业</w:t>
      </w:r>
      <w:r>
        <w:rPr>
          <w:rFonts w:hint="eastAsia" w:ascii="仿宋_GB2312" w:hAnsi="仿宋_GB2312" w:eastAsia="仿宋_GB2312" w:cs="仿宋_GB2312"/>
          <w:b/>
          <w:sz w:val="32"/>
          <w:szCs w:val="32"/>
          <w:lang w:eastAsia="zh-CN"/>
        </w:rPr>
        <w:t>集聚加速形成</w:t>
      </w:r>
      <w:r>
        <w:rPr>
          <w:rFonts w:hint="eastAsia" w:ascii="仿宋_GB2312" w:hAnsi="仿宋_GB2312" w:eastAsia="仿宋_GB2312" w:cs="仿宋_GB2312"/>
          <w:b/>
          <w:sz w:val="32"/>
          <w:szCs w:val="32"/>
        </w:rPr>
        <w:t>。</w:t>
      </w:r>
      <w:r>
        <w:rPr>
          <w:rFonts w:hint="eastAsia" w:ascii="仿宋_GB2312" w:hAnsi="仿宋_GB2312" w:eastAsia="仿宋_GB2312" w:cs="仿宋_GB2312"/>
          <w:b w:val="0"/>
          <w:bCs/>
          <w:sz w:val="32"/>
          <w:szCs w:val="32"/>
        </w:rPr>
        <w:t>颍上</w:t>
      </w:r>
      <w:r>
        <w:rPr>
          <w:rFonts w:hint="eastAsia" w:ascii="仿宋_GB2312" w:hAnsi="仿宋_GB2312" w:eastAsia="仿宋_GB2312" w:cs="仿宋_GB2312"/>
          <w:bCs/>
          <w:sz w:val="32"/>
          <w:szCs w:val="32"/>
        </w:rPr>
        <w:t>循环经济园列入全国大宗固体废弃物综合利用基地，成功扩区并且成为全省首批认定的化工园区。</w:t>
      </w:r>
      <w:r>
        <w:rPr>
          <w:rFonts w:hint="eastAsia" w:ascii="仿宋_GB2312" w:hAnsi="仿宋_GB2312" w:eastAsia="仿宋_GB2312" w:cs="仿宋_GB2312"/>
          <w:b/>
          <w:sz w:val="32"/>
          <w:szCs w:val="32"/>
        </w:rPr>
        <w:t>临泉</w:t>
      </w:r>
      <w:r>
        <w:rPr>
          <w:rFonts w:hint="eastAsia" w:ascii="仿宋_GB2312" w:hAnsi="仿宋_GB2312" w:eastAsia="仿宋_GB2312" w:cs="仿宋_GB2312"/>
          <w:b/>
          <w:sz w:val="32"/>
          <w:szCs w:val="32"/>
          <w:lang w:eastAsia="zh-CN"/>
        </w:rPr>
        <w:t>农副食品加工产业平台有效提升</w:t>
      </w:r>
      <w:r>
        <w:rPr>
          <w:rFonts w:hint="eastAsia" w:ascii="仿宋_GB2312" w:hAnsi="仿宋_GB2312" w:eastAsia="仿宋_GB2312" w:cs="仿宋_GB2312"/>
          <w:b/>
          <w:sz w:val="32"/>
          <w:szCs w:val="32"/>
        </w:rPr>
        <w:t>。</w:t>
      </w:r>
      <w:r>
        <w:rPr>
          <w:rFonts w:hint="eastAsia" w:ascii="仿宋_GB2312" w:hAnsi="仿宋_GB2312" w:eastAsia="仿宋_GB2312" w:cs="仿宋_GB2312"/>
          <w:bCs/>
          <w:sz w:val="32"/>
          <w:szCs w:val="32"/>
        </w:rPr>
        <w:t>临泉国家科技农业园区2020年入选第九批国家农业科技园区，农副食品加工特色产业集群（基地）入选安徽省县域特色产业集群（基地）。</w:t>
      </w:r>
    </w:p>
    <w:p w14:paraId="70A38A2F">
      <w:pPr>
        <w:widowControl/>
        <w:spacing w:line="600" w:lineRule="exact"/>
        <w:ind w:firstLine="643" w:firstLineChars="200"/>
        <w:jc w:val="left"/>
        <w:outlineLvl w:val="9"/>
        <w:rPr>
          <w:rFonts w:hint="eastAsia" w:ascii="仿宋_GB2312" w:hAnsi="仿宋_GB2312" w:eastAsia="仿宋_GB2312" w:cs="仿宋_GB2312"/>
          <w:b/>
          <w:sz w:val="32"/>
          <w:szCs w:val="32"/>
        </w:rPr>
      </w:pPr>
      <w:bookmarkStart w:id="82" w:name="_Toc17546"/>
      <w:bookmarkStart w:id="83" w:name="_Toc16421"/>
    </w:p>
    <w:p w14:paraId="4D271CD1">
      <w:pPr>
        <w:widowControl/>
        <w:spacing w:line="600" w:lineRule="exact"/>
        <w:ind w:firstLine="643" w:firstLineChars="200"/>
        <w:jc w:val="left"/>
        <w:outlineLvl w:val="9"/>
        <w:rPr>
          <w:rFonts w:hint="eastAsia" w:ascii="仿宋_GB2312" w:hAnsi="仿宋_GB2312" w:eastAsia="仿宋_GB2312" w:cs="仿宋_GB2312"/>
          <w:b/>
          <w:sz w:val="32"/>
          <w:szCs w:val="32"/>
        </w:rPr>
      </w:pPr>
    </w:p>
    <w:p w14:paraId="4886D70F">
      <w:pPr>
        <w:widowControl/>
        <w:spacing w:line="600" w:lineRule="exact"/>
        <w:ind w:firstLine="643" w:firstLineChars="200"/>
        <w:jc w:val="left"/>
        <w:outlineLvl w:val="2"/>
        <w:rPr>
          <w:rFonts w:ascii="仿宋_GB2312" w:hAnsi="仿宋_GB2312" w:eastAsia="仿宋_GB2312" w:cs="仿宋_GB2312"/>
          <w:bCs/>
          <w:sz w:val="32"/>
          <w:szCs w:val="32"/>
        </w:rPr>
      </w:pPr>
      <w:r>
        <w:rPr>
          <w:rFonts w:hint="eastAsia" w:ascii="仿宋_GB2312" w:hAnsi="仿宋_GB2312" w:eastAsia="仿宋_GB2312" w:cs="仿宋_GB2312"/>
          <w:b/>
          <w:sz w:val="32"/>
          <w:szCs w:val="32"/>
        </w:rPr>
        <w:t>2.存在的问题</w:t>
      </w:r>
      <w:bookmarkEnd w:id="81"/>
      <w:bookmarkEnd w:id="82"/>
      <w:bookmarkEnd w:id="83"/>
    </w:p>
    <w:p w14:paraId="7FE39069">
      <w:pPr>
        <w:pStyle w:val="23"/>
        <w:spacing w:after="0" w:line="600" w:lineRule="exact"/>
        <w:ind w:left="0" w:leftChars="0" w:firstLine="643"/>
        <w:outlineLvl w:val="3"/>
        <w:rPr>
          <w:rFonts w:ascii="仿宋_GB2312" w:hAnsi="仿宋_GB2312" w:eastAsia="仿宋_GB2312" w:cs="仿宋_GB2312"/>
          <w:b/>
          <w:sz w:val="32"/>
          <w:szCs w:val="32"/>
        </w:rPr>
      </w:pPr>
      <w:bookmarkStart w:id="84" w:name="_Toc20802"/>
      <w:r>
        <w:rPr>
          <w:rFonts w:hint="eastAsia" w:ascii="仿宋_GB2312" w:hAnsi="仿宋_GB2312" w:eastAsia="仿宋_GB2312" w:cs="仿宋_GB2312"/>
          <w:b/>
          <w:sz w:val="32"/>
          <w:szCs w:val="32"/>
        </w:rPr>
        <w:t>（1）产业结构有待优化</w:t>
      </w:r>
      <w:bookmarkEnd w:id="84"/>
    </w:p>
    <w:p w14:paraId="23182284">
      <w:pPr>
        <w:widowControl/>
        <w:spacing w:line="600" w:lineRule="exact"/>
        <w:ind w:firstLine="643" w:firstLineChars="200"/>
        <w:rPr>
          <w:rFonts w:ascii="仿宋_GB2312" w:hAnsi="仿宋_GB2312" w:eastAsia="仿宋_GB2312" w:cs="仿宋_GB2312"/>
          <w:bCs/>
          <w:sz w:val="32"/>
          <w:szCs w:val="32"/>
        </w:rPr>
      </w:pPr>
      <w:r>
        <w:rPr>
          <w:rFonts w:hint="eastAsia" w:ascii="仿宋_GB2312" w:hAnsi="仿宋_GB2312" w:eastAsia="仿宋_GB2312" w:cs="仿宋_GB2312"/>
          <w:b/>
          <w:sz w:val="32"/>
          <w:szCs w:val="32"/>
        </w:rPr>
        <w:t>产业层次有待提高，</w:t>
      </w:r>
      <w:r>
        <w:rPr>
          <w:rFonts w:hint="eastAsia" w:ascii="仿宋_GB2312" w:hAnsi="仿宋_GB2312" w:eastAsia="仿宋_GB2312" w:cs="仿宋_GB2312"/>
          <w:bCs/>
          <w:sz w:val="32"/>
          <w:szCs w:val="32"/>
        </w:rPr>
        <w:t>建材、能源化工等传统产业产值占比超过60%，新材料、</w:t>
      </w:r>
      <w:r>
        <w:rPr>
          <w:rFonts w:hint="default" w:ascii="仿宋_GB2312" w:hAnsi="仿宋_GB2312" w:eastAsia="仿宋_GB2312" w:cs="仿宋_GB2312"/>
          <w:bCs/>
          <w:sz w:val="32"/>
          <w:szCs w:val="32"/>
          <w:lang w:val="en-US"/>
        </w:rPr>
        <w:t>新一代信息技术</w:t>
      </w:r>
      <w:r>
        <w:rPr>
          <w:rFonts w:hint="eastAsia" w:ascii="仿宋_GB2312" w:hAnsi="仿宋_GB2312" w:eastAsia="仿宋_GB2312" w:cs="仿宋_GB2312"/>
          <w:bCs/>
          <w:sz w:val="32"/>
          <w:szCs w:val="32"/>
        </w:rPr>
        <w:t>、高端装备制造等战略性新兴产业尚处于起步阶段，2020年战略性新兴产业占工业产值比重为38.7%，与位于前列的合肥（55.5%）、宣城（51.8%）相比差距较大。</w:t>
      </w:r>
      <w:r>
        <w:rPr>
          <w:rFonts w:hint="eastAsia" w:ascii="仿宋_GB2312" w:hAnsi="仿宋_GB2312" w:eastAsia="仿宋_GB2312" w:cs="仿宋_GB2312"/>
          <w:b/>
          <w:sz w:val="32"/>
          <w:szCs w:val="32"/>
        </w:rPr>
        <w:t>产业链条有待完善</w:t>
      </w:r>
      <w:r>
        <w:rPr>
          <w:rFonts w:hint="eastAsia" w:ascii="仿宋_GB2312" w:hAnsi="仿宋_GB2312" w:eastAsia="仿宋_GB2312" w:cs="仿宋_GB2312"/>
          <w:bCs/>
          <w:sz w:val="32"/>
          <w:szCs w:val="32"/>
        </w:rPr>
        <w:t>，我市产业集聚以横向为主，且主要集中在产品价值链的低端部分，存在产品技术含量较低，低端供给过剩，中高端供给不足的问题。</w:t>
      </w:r>
    </w:p>
    <w:p w14:paraId="5B34A146">
      <w:pPr>
        <w:pStyle w:val="23"/>
        <w:spacing w:after="0" w:line="600" w:lineRule="exact"/>
        <w:ind w:left="0" w:leftChars="0" w:firstLine="643"/>
        <w:outlineLvl w:val="3"/>
        <w:rPr>
          <w:rFonts w:ascii="仿宋_GB2312" w:hAnsi="仿宋_GB2312" w:eastAsia="仿宋_GB2312" w:cs="仿宋_GB2312"/>
          <w:b/>
          <w:sz w:val="32"/>
          <w:szCs w:val="32"/>
        </w:rPr>
      </w:pPr>
      <w:bookmarkStart w:id="85" w:name="_Toc20855"/>
      <w:r>
        <w:rPr>
          <w:rFonts w:hint="eastAsia" w:ascii="仿宋_GB2312" w:hAnsi="仿宋_GB2312" w:eastAsia="仿宋_GB2312" w:cs="仿宋_GB2312"/>
          <w:b/>
          <w:sz w:val="32"/>
          <w:szCs w:val="32"/>
        </w:rPr>
        <w:t>（2）品牌效益有待提高</w:t>
      </w:r>
      <w:bookmarkEnd w:id="85"/>
    </w:p>
    <w:p w14:paraId="355AF10D">
      <w:pPr>
        <w:spacing w:line="600" w:lineRule="exact"/>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企业质量不高、体量较小，全市仅有一家主板上市公司，与亳州、宿州</w:t>
      </w:r>
      <w:r>
        <w:rPr>
          <w:rFonts w:hint="eastAsia" w:ascii="Times New Roman" w:hAnsi="Times New Roman" w:eastAsia="仿宋_GB2312" w:cs="仿宋_GB2312"/>
          <w:sz w:val="32"/>
          <w:szCs w:val="32"/>
          <w:lang w:val="en-US" w:eastAsia="zh-CN"/>
        </w:rPr>
        <w:t>同处</w:t>
      </w:r>
      <w:r>
        <w:rPr>
          <w:rFonts w:hint="eastAsia" w:ascii="Times New Roman" w:hAnsi="Times New Roman" w:eastAsia="仿宋_GB2312" w:cs="仿宋_GB2312"/>
          <w:sz w:val="32"/>
          <w:szCs w:val="32"/>
        </w:rPr>
        <w:t>全省</w:t>
      </w:r>
      <w:r>
        <w:rPr>
          <w:rFonts w:hint="eastAsia" w:ascii="Times New Roman" w:hAnsi="Times New Roman" w:eastAsia="仿宋_GB2312" w:cs="仿宋_GB2312"/>
          <w:sz w:val="32"/>
          <w:szCs w:val="32"/>
          <w:lang w:val="en-US" w:eastAsia="zh-CN"/>
        </w:rPr>
        <w:t>末位</w:t>
      </w:r>
      <w:r>
        <w:rPr>
          <w:rFonts w:hint="eastAsia" w:ascii="Times New Roman" w:hAnsi="Times New Roman" w:eastAsia="仿宋_GB2312" w:cs="仿宋_GB2312"/>
          <w:sz w:val="32"/>
          <w:szCs w:val="32"/>
        </w:rPr>
        <w:t>。部分企业虽是安徽百强企业，但</w:t>
      </w:r>
      <w:r>
        <w:rPr>
          <w:rFonts w:hint="eastAsia" w:ascii="Times New Roman" w:hAnsi="Times New Roman" w:eastAsia="仿宋_GB2312"/>
          <w:sz w:val="32"/>
          <w:szCs w:val="32"/>
        </w:rPr>
        <w:t>企业品牌营销不足，</w:t>
      </w:r>
      <w:r>
        <w:rPr>
          <w:rFonts w:hint="eastAsia" w:ascii="Times New Roman" w:hAnsi="Times New Roman" w:eastAsia="仿宋_GB2312" w:cs="仿宋_GB2312"/>
          <w:sz w:val="32"/>
          <w:szCs w:val="32"/>
        </w:rPr>
        <w:t>在省内知名度不高</w:t>
      </w:r>
      <w:r>
        <w:rPr>
          <w:rFonts w:hint="eastAsia" w:ascii="Times New Roman" w:hAnsi="Times New Roman" w:eastAsia="仿宋_GB2312"/>
          <w:sz w:val="32"/>
          <w:szCs w:val="32"/>
        </w:rPr>
        <w:t>。</w:t>
      </w:r>
      <w:r>
        <w:rPr>
          <w:rFonts w:hint="eastAsia" w:ascii="Times New Roman" w:hAnsi="Times New Roman" w:eastAsia="仿宋_GB2312" w:cs="仿宋_GB2312"/>
          <w:sz w:val="32"/>
          <w:szCs w:val="32"/>
        </w:rPr>
        <w:t>金种子集团作为我市重点打造的酒类品牌，在省内影响力不如亳州古井、淮北口子窖。</w:t>
      </w:r>
      <w:r>
        <w:rPr>
          <w:rFonts w:hint="eastAsia" w:ascii="Times New Roman" w:hAnsi="Times New Roman" w:eastAsia="仿宋_GB2312"/>
          <w:sz w:val="32"/>
          <w:szCs w:val="32"/>
        </w:rPr>
        <w:t>截至2020年，</w:t>
      </w:r>
      <w:r>
        <w:rPr>
          <w:rFonts w:hint="eastAsia" w:ascii="Times New Roman" w:hAnsi="Times New Roman" w:eastAsia="仿宋_GB2312"/>
          <w:sz w:val="32"/>
          <w:szCs w:val="32"/>
          <w:lang w:val="en-US" w:eastAsia="zh-CN"/>
        </w:rPr>
        <w:t>全</w:t>
      </w:r>
      <w:r>
        <w:rPr>
          <w:rFonts w:hint="eastAsia" w:ascii="Times New Roman" w:hAnsi="Times New Roman" w:eastAsia="仿宋_GB2312"/>
          <w:sz w:val="32"/>
          <w:szCs w:val="32"/>
        </w:rPr>
        <w:t>市安徽工业精品仅39个，和合肥（126个）、芜湖（54个）相比有一定差距。</w:t>
      </w:r>
    </w:p>
    <w:p w14:paraId="582E6A04">
      <w:pPr>
        <w:pStyle w:val="23"/>
        <w:spacing w:after="0" w:line="600" w:lineRule="exact"/>
        <w:ind w:left="0" w:leftChars="0" w:firstLine="643"/>
        <w:outlineLvl w:val="3"/>
        <w:rPr>
          <w:rFonts w:ascii="仿宋_GB2312" w:hAnsi="仿宋_GB2312" w:eastAsia="仿宋_GB2312" w:cs="仿宋_GB2312"/>
          <w:b/>
          <w:sz w:val="32"/>
          <w:szCs w:val="32"/>
        </w:rPr>
      </w:pPr>
      <w:bookmarkStart w:id="86" w:name="_Toc14399"/>
      <w:r>
        <w:rPr>
          <w:rFonts w:hint="eastAsia" w:ascii="仿宋_GB2312" w:hAnsi="仿宋_GB2312" w:eastAsia="仿宋_GB2312" w:cs="仿宋_GB2312"/>
          <w:b/>
          <w:sz w:val="32"/>
          <w:szCs w:val="32"/>
        </w:rPr>
        <w:t>（3）创新动能有待提升</w:t>
      </w:r>
      <w:bookmarkEnd w:id="86"/>
    </w:p>
    <w:p w14:paraId="15E7A2D6">
      <w:pPr>
        <w:pStyle w:val="23"/>
        <w:spacing w:after="0" w:line="600" w:lineRule="exact"/>
        <w:ind w:left="0" w:leftChars="0" w:firstLine="640"/>
        <w:rPr>
          <w:rFonts w:hint="eastAsia" w:ascii="Times New Roman" w:hAnsi="Times New Roman" w:eastAsia="仿宋_GB2312" w:cs="仿宋_GB2312"/>
          <w:b w:val="0"/>
          <w:bCs w:val="0"/>
          <w:sz w:val="32"/>
          <w:szCs w:val="32"/>
        </w:rPr>
      </w:pPr>
      <w:r>
        <w:rPr>
          <w:rFonts w:hint="eastAsia" w:ascii="Times New Roman" w:hAnsi="Times New Roman" w:eastAsia="仿宋_GB2312" w:cs="仿宋_GB2312"/>
          <w:sz w:val="32"/>
          <w:szCs w:val="32"/>
        </w:rPr>
        <w:t>企业普遍存在研发投入不足等问题，</w:t>
      </w:r>
      <w:r>
        <w:rPr>
          <w:rFonts w:hint="eastAsia" w:ascii="Times New Roman" w:hAnsi="Times New Roman" w:eastAsia="仿宋_GB2312" w:cs="仿宋_GB2312"/>
          <w:bCs w:val="0"/>
          <w:sz w:val="32"/>
          <w:szCs w:val="32"/>
          <w:lang w:val="en-US" w:eastAsia="zh-CN"/>
        </w:rPr>
        <w:t>2020</w:t>
      </w:r>
      <w:r>
        <w:rPr>
          <w:rFonts w:hint="eastAsia" w:ascii="Times New Roman" w:hAnsi="Times New Roman" w:eastAsia="仿宋_GB2312" w:cs="仿宋_GB2312"/>
          <w:bCs w:val="0"/>
          <w:sz w:val="32"/>
          <w:szCs w:val="32"/>
        </w:rPr>
        <w:t>年，全市工业企业R&amp;D经费投入</w:t>
      </w:r>
      <w:r>
        <w:rPr>
          <w:rFonts w:hint="eastAsia" w:ascii="Times New Roman" w:hAnsi="Times New Roman" w:eastAsia="仿宋_GB2312" w:cs="仿宋_GB2312"/>
          <w:bCs w:val="0"/>
          <w:sz w:val="32"/>
          <w:szCs w:val="32"/>
          <w:lang w:val="en-US" w:eastAsia="zh-CN"/>
        </w:rPr>
        <w:t>23.54</w:t>
      </w:r>
      <w:r>
        <w:rPr>
          <w:rFonts w:hint="eastAsia" w:ascii="Times New Roman" w:hAnsi="Times New Roman" w:eastAsia="仿宋_GB2312" w:cs="仿宋_GB2312"/>
          <w:bCs w:val="0"/>
          <w:sz w:val="32"/>
          <w:szCs w:val="32"/>
        </w:rPr>
        <w:t>亿元，和合肥（</w:t>
      </w:r>
      <w:r>
        <w:rPr>
          <w:rFonts w:hint="eastAsia" w:ascii="Times New Roman" w:hAnsi="Times New Roman" w:eastAsia="仿宋_GB2312" w:cs="仿宋_GB2312"/>
          <w:bCs w:val="0"/>
          <w:sz w:val="32"/>
          <w:szCs w:val="32"/>
          <w:lang w:val="en-US" w:eastAsia="zh-CN"/>
        </w:rPr>
        <w:t>192.24</w:t>
      </w:r>
      <w:r>
        <w:rPr>
          <w:rFonts w:hint="eastAsia" w:ascii="Times New Roman" w:hAnsi="Times New Roman" w:eastAsia="仿宋_GB2312" w:cs="仿宋_GB2312"/>
          <w:bCs w:val="0"/>
          <w:sz w:val="32"/>
          <w:szCs w:val="32"/>
        </w:rPr>
        <w:t>亿元）、芜湖（</w:t>
      </w:r>
      <w:r>
        <w:rPr>
          <w:rFonts w:hint="eastAsia" w:ascii="Times New Roman" w:hAnsi="Times New Roman" w:eastAsia="仿宋_GB2312" w:cs="仿宋_GB2312"/>
          <w:bCs w:val="0"/>
          <w:sz w:val="32"/>
          <w:szCs w:val="32"/>
          <w:lang w:val="en-US" w:eastAsia="zh-CN"/>
        </w:rPr>
        <w:t>108.46</w:t>
      </w:r>
      <w:r>
        <w:rPr>
          <w:rFonts w:hint="eastAsia" w:ascii="Times New Roman" w:hAnsi="Times New Roman" w:eastAsia="仿宋_GB2312" w:cs="仿宋_GB2312"/>
          <w:bCs w:val="0"/>
          <w:sz w:val="32"/>
          <w:szCs w:val="32"/>
        </w:rPr>
        <w:t>亿元）相比差距较大，也低于全省平均水平（</w:t>
      </w:r>
      <w:r>
        <w:rPr>
          <w:rFonts w:hint="eastAsia" w:ascii="Times New Roman" w:hAnsi="Times New Roman" w:eastAsia="仿宋_GB2312" w:cs="仿宋_GB2312"/>
          <w:bCs w:val="0"/>
          <w:sz w:val="32"/>
          <w:szCs w:val="32"/>
          <w:lang w:val="en-US" w:eastAsia="zh-CN"/>
        </w:rPr>
        <w:t>39.96</w:t>
      </w:r>
      <w:r>
        <w:rPr>
          <w:rFonts w:hint="eastAsia" w:ascii="Times New Roman" w:hAnsi="Times New Roman" w:eastAsia="仿宋_GB2312" w:cs="仿宋_GB2312"/>
          <w:bCs w:val="0"/>
          <w:sz w:val="32"/>
          <w:szCs w:val="32"/>
        </w:rPr>
        <w:t>亿元）。</w:t>
      </w:r>
      <w:r>
        <w:rPr>
          <w:rFonts w:hint="eastAsia" w:ascii="Times New Roman" w:hAnsi="Times New Roman" w:eastAsia="仿宋_GB2312" w:cs="仿宋_GB2312"/>
          <w:bCs w:val="0"/>
          <w:sz w:val="32"/>
          <w:szCs w:val="32"/>
          <w:lang w:val="en-US" w:eastAsia="zh-CN"/>
        </w:rPr>
        <w:t>全市工业企业研究与试验发展人员合计7506人，远低于合肥（46455人）、芜湖（31292人），</w:t>
      </w:r>
      <w:r>
        <w:rPr>
          <w:rFonts w:hint="eastAsia" w:ascii="Times New Roman" w:hAnsi="Times New Roman" w:eastAsia="仿宋_GB2312" w:cs="仿宋_GB2312"/>
          <w:bCs w:val="0"/>
          <w:sz w:val="32"/>
          <w:szCs w:val="32"/>
        </w:rPr>
        <w:t>也低于</w:t>
      </w:r>
      <w:r>
        <w:rPr>
          <w:rFonts w:hint="eastAsia" w:ascii="Times New Roman" w:hAnsi="Times New Roman" w:eastAsia="仿宋_GB2312" w:cs="仿宋_GB2312"/>
          <w:bCs w:val="0"/>
          <w:sz w:val="32"/>
          <w:szCs w:val="32"/>
          <w:lang w:val="en-US" w:eastAsia="zh-CN"/>
        </w:rPr>
        <w:t>省平均水平（12155人）。</w:t>
      </w:r>
      <w:r>
        <w:rPr>
          <w:rFonts w:hint="eastAsia" w:ascii="Times New Roman" w:hAnsi="Times New Roman" w:eastAsia="仿宋_GB2312" w:cs="仿宋_GB2312"/>
          <w:sz w:val="32"/>
          <w:szCs w:val="32"/>
        </w:rPr>
        <w:t>万人</w:t>
      </w:r>
      <w:r>
        <w:rPr>
          <w:rFonts w:hint="eastAsia" w:ascii="Times New Roman" w:hAnsi="Times New Roman" w:eastAsia="仿宋_GB2312" w:cs="仿宋_GB2312"/>
          <w:sz w:val="32"/>
          <w:szCs w:val="32"/>
          <w:lang w:val="en-US" w:eastAsia="zh-CN"/>
        </w:rPr>
        <w:t>有效</w:t>
      </w:r>
      <w:r>
        <w:rPr>
          <w:rFonts w:hint="eastAsia" w:ascii="Times New Roman" w:hAnsi="Times New Roman" w:eastAsia="仿宋_GB2312" w:cs="仿宋_GB2312"/>
          <w:sz w:val="32"/>
          <w:szCs w:val="32"/>
        </w:rPr>
        <w:t>发明专利拥有量</w:t>
      </w:r>
      <w:r>
        <w:rPr>
          <w:rFonts w:hint="eastAsia" w:ascii="Times New Roman" w:hAnsi="Times New Roman" w:eastAsia="仿宋_GB2312" w:cs="仿宋_GB2312"/>
          <w:sz w:val="32"/>
          <w:szCs w:val="32"/>
          <w:lang w:val="en-US" w:eastAsia="zh-CN"/>
        </w:rPr>
        <w:t>5.74</w:t>
      </w:r>
      <w:r>
        <w:rPr>
          <w:rFonts w:hint="eastAsia" w:ascii="Times New Roman" w:hAnsi="Times New Roman" w:eastAsia="仿宋_GB2312" w:cs="仿宋_GB2312"/>
          <w:sz w:val="32"/>
          <w:szCs w:val="32"/>
        </w:rPr>
        <w:t>件，低于全省平均水平</w:t>
      </w:r>
      <w:r>
        <w:rPr>
          <w:rFonts w:hint="eastAsia" w:ascii="Times New Roman" w:hAnsi="Times New Roman" w:eastAsia="仿宋_GB2312" w:cs="仿宋_GB2312"/>
          <w:sz w:val="32"/>
          <w:szCs w:val="32"/>
          <w:lang w:val="en-US" w:eastAsia="zh-CN"/>
        </w:rPr>
        <w:t>15.4</w:t>
      </w:r>
      <w:r>
        <w:rPr>
          <w:rFonts w:hint="eastAsia" w:ascii="Times New Roman" w:hAnsi="Times New Roman" w:eastAsia="仿宋_GB2312" w:cs="仿宋_GB2312"/>
          <w:sz w:val="32"/>
          <w:szCs w:val="32"/>
        </w:rPr>
        <w:t>件，且产品雷同、工艺雷同等同质化现象严重。</w:t>
      </w:r>
    </w:p>
    <w:p w14:paraId="3193136D">
      <w:pPr>
        <w:pStyle w:val="23"/>
        <w:spacing w:after="0" w:line="600" w:lineRule="exact"/>
        <w:ind w:left="0" w:leftChars="0" w:firstLine="643"/>
        <w:jc w:val="left"/>
        <w:outlineLvl w:val="3"/>
        <w:rPr>
          <w:rFonts w:ascii="仿宋_GB2312" w:hAnsi="仿宋_GB2312" w:eastAsia="仿宋_GB2312" w:cs="仿宋_GB2312"/>
          <w:b/>
          <w:sz w:val="32"/>
          <w:szCs w:val="32"/>
        </w:rPr>
      </w:pPr>
      <w:bookmarkStart w:id="87" w:name="_Toc669"/>
      <w:r>
        <w:rPr>
          <w:rFonts w:hint="eastAsia" w:ascii="仿宋_GB2312" w:hAnsi="仿宋_GB2312" w:eastAsia="仿宋_GB2312" w:cs="仿宋_GB2312"/>
          <w:b/>
          <w:sz w:val="32"/>
          <w:szCs w:val="32"/>
        </w:rPr>
        <w:t>（4）发展后劲有待加强</w:t>
      </w:r>
      <w:bookmarkEnd w:id="87"/>
    </w:p>
    <w:p w14:paraId="15C447D4">
      <w:pPr>
        <w:spacing w:line="60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工业投资不足一直是我市工业经济较为突出的问题。</w:t>
      </w:r>
      <w:r>
        <w:rPr>
          <w:rFonts w:hint="eastAsia" w:ascii="仿宋_GB2312" w:hAnsi="仿宋_GB2312" w:eastAsia="仿宋_GB2312" w:cs="仿宋_GB2312"/>
          <w:b/>
          <w:sz w:val="32"/>
          <w:szCs w:val="32"/>
        </w:rPr>
        <w:t>从投资结构来看</w:t>
      </w:r>
      <w:r>
        <w:rPr>
          <w:rFonts w:hint="eastAsia" w:ascii="仿宋_GB2312" w:hAnsi="仿宋_GB2312" w:eastAsia="仿宋_GB2312" w:cs="仿宋_GB2312"/>
          <w:bCs/>
          <w:sz w:val="32"/>
          <w:szCs w:val="32"/>
        </w:rPr>
        <w:t>，投资占比有所下降，工业投资、技改投资占全社会固定资产投资的</w:t>
      </w:r>
      <w:r>
        <w:rPr>
          <w:rFonts w:hint="eastAsia" w:ascii="Times New Roman" w:hAnsi="Times New Roman" w:eastAsia="仿宋_GB2312" w:cs="仿宋_GB2312"/>
          <w:bCs w:val="0"/>
          <w:sz w:val="32"/>
          <w:szCs w:val="32"/>
        </w:rPr>
        <w:t>比重分别由2016年的30.2%、12.4%下降到2020年的17.6%、8.3%。</w:t>
      </w:r>
      <w:r>
        <w:rPr>
          <w:rFonts w:hint="eastAsia" w:ascii="仿宋_GB2312" w:hAnsi="仿宋_GB2312" w:eastAsia="仿宋_GB2312" w:cs="仿宋_GB2312"/>
          <w:b/>
          <w:sz w:val="32"/>
          <w:szCs w:val="32"/>
        </w:rPr>
        <w:t>从投资规模来看，</w:t>
      </w:r>
      <w:r>
        <w:rPr>
          <w:rFonts w:hint="eastAsia" w:ascii="仿宋_GB2312" w:hAnsi="仿宋_GB2312" w:eastAsia="仿宋_GB2312" w:cs="仿宋_GB2312"/>
          <w:bCs/>
          <w:sz w:val="32"/>
          <w:szCs w:val="32"/>
        </w:rPr>
        <w:t>工业大项目少、好项目少，“十三五”</w:t>
      </w:r>
      <w:r>
        <w:rPr>
          <w:rFonts w:hint="eastAsia" w:ascii="仿宋_GB2312" w:hAnsi="仿宋_GB2312" w:eastAsia="仿宋_GB2312" w:cs="仿宋_GB2312"/>
          <w:bCs/>
          <w:sz w:val="32"/>
          <w:szCs w:val="32"/>
          <w:lang w:eastAsia="zh-CN"/>
        </w:rPr>
        <w:t>末</w:t>
      </w:r>
      <w:r>
        <w:rPr>
          <w:rFonts w:hint="eastAsia" w:ascii="仿宋_GB2312" w:hAnsi="仿宋_GB2312" w:eastAsia="仿宋_GB2312" w:cs="仿宋_GB2312"/>
          <w:bCs/>
          <w:sz w:val="32"/>
          <w:szCs w:val="32"/>
        </w:rPr>
        <w:t>，</w:t>
      </w:r>
      <w:r>
        <w:rPr>
          <w:rFonts w:hint="eastAsia" w:ascii="Times New Roman" w:hAnsi="Times New Roman" w:eastAsia="仿宋_GB2312" w:cs="仿宋_GB2312"/>
          <w:bCs w:val="0"/>
          <w:sz w:val="32"/>
          <w:szCs w:val="32"/>
        </w:rPr>
        <w:t>10亿元以上工业项目仅</w:t>
      </w:r>
      <w:r>
        <w:rPr>
          <w:rFonts w:hint="eastAsia" w:ascii="Times New Roman" w:hAnsi="Times New Roman" w:eastAsia="仿宋_GB2312" w:cs="仿宋_GB2312"/>
          <w:bCs w:val="0"/>
          <w:sz w:val="32"/>
          <w:szCs w:val="32"/>
          <w:lang w:val="en-US" w:eastAsia="zh-CN"/>
        </w:rPr>
        <w:t>29</w:t>
      </w:r>
      <w:r>
        <w:rPr>
          <w:rFonts w:hint="eastAsia" w:ascii="Times New Roman" w:hAnsi="Times New Roman" w:eastAsia="仿宋_GB2312" w:cs="仿宋_GB2312"/>
          <w:bCs w:val="0"/>
          <w:sz w:val="32"/>
          <w:szCs w:val="32"/>
        </w:rPr>
        <w:t>个，占比</w:t>
      </w:r>
      <w:r>
        <w:rPr>
          <w:rFonts w:hint="eastAsia" w:ascii="Times New Roman" w:hAnsi="Times New Roman" w:eastAsia="仿宋_GB2312" w:cs="仿宋_GB2312"/>
          <w:bCs w:val="0"/>
          <w:sz w:val="32"/>
          <w:szCs w:val="32"/>
          <w:lang w:eastAsia="zh-CN"/>
        </w:rPr>
        <w:t>不足</w:t>
      </w:r>
      <w:r>
        <w:rPr>
          <w:rFonts w:hint="eastAsia" w:ascii="Times New Roman" w:hAnsi="Times New Roman" w:eastAsia="仿宋_GB2312" w:cs="仿宋_GB2312"/>
          <w:bCs w:val="0"/>
          <w:sz w:val="32"/>
          <w:szCs w:val="32"/>
          <w:lang w:val="en-US" w:eastAsia="zh-CN"/>
        </w:rPr>
        <w:t>5%</w:t>
      </w:r>
      <w:r>
        <w:rPr>
          <w:rFonts w:hint="eastAsia" w:ascii="Times New Roman" w:hAnsi="Times New Roman" w:eastAsia="仿宋_GB2312" w:cs="仿宋_GB2312"/>
          <w:bCs w:val="0"/>
          <w:sz w:val="32"/>
          <w:szCs w:val="32"/>
        </w:rPr>
        <w:t>，</w:t>
      </w:r>
      <w:r>
        <w:rPr>
          <w:rFonts w:hint="eastAsia" w:ascii="仿宋_GB2312" w:hAnsi="仿宋_GB2312" w:eastAsia="仿宋_GB2312" w:cs="仿宋_GB2312"/>
          <w:bCs/>
          <w:sz w:val="32"/>
          <w:szCs w:val="32"/>
        </w:rPr>
        <w:t>且涉及先进制造业、高水平、上规模、带动力强的工业项目不多。</w:t>
      </w:r>
      <w:r>
        <w:rPr>
          <w:rFonts w:hint="eastAsia" w:ascii="仿宋_GB2312" w:hAnsi="仿宋_GB2312" w:eastAsia="仿宋_GB2312" w:cs="仿宋_GB2312"/>
          <w:b/>
          <w:sz w:val="32"/>
          <w:szCs w:val="32"/>
        </w:rPr>
        <w:t>从投资区域来看，</w:t>
      </w:r>
      <w:r>
        <w:rPr>
          <w:rFonts w:hint="eastAsia" w:ascii="仿宋_GB2312" w:hAnsi="仿宋_GB2312" w:eastAsia="仿宋_GB2312" w:cs="仿宋_GB2312"/>
          <w:bCs/>
          <w:sz w:val="32"/>
          <w:szCs w:val="32"/>
        </w:rPr>
        <w:t>区域差距大，投资不均衡，“十三五”期间，工业投资项目主要分布在太和县、界首市、阜南县三县（市），三县（市）合计完成工业投资项目占全市比重</w:t>
      </w:r>
      <w:r>
        <w:rPr>
          <w:rFonts w:hint="eastAsia" w:ascii="Times New Roman" w:hAnsi="Times New Roman" w:eastAsia="仿宋_GB2312" w:cs="仿宋_GB2312"/>
          <w:bCs w:val="0"/>
          <w:sz w:val="32"/>
          <w:szCs w:val="32"/>
        </w:rPr>
        <w:t>高达49.7%。</w:t>
      </w:r>
    </w:p>
    <w:p w14:paraId="71A54516">
      <w:pPr>
        <w:pStyle w:val="23"/>
        <w:spacing w:after="0" w:line="600" w:lineRule="exact"/>
        <w:ind w:left="0" w:leftChars="0" w:firstLine="643"/>
        <w:jc w:val="left"/>
        <w:outlineLvl w:val="3"/>
        <w:rPr>
          <w:rFonts w:ascii="仿宋_GB2312" w:hAnsi="仿宋_GB2312" w:eastAsia="仿宋_GB2312" w:cs="仿宋_GB2312"/>
          <w:b/>
          <w:sz w:val="32"/>
          <w:szCs w:val="32"/>
        </w:rPr>
      </w:pPr>
      <w:r>
        <w:rPr>
          <w:rFonts w:hint="eastAsia" w:ascii="仿宋_GB2312" w:hAnsi="仿宋_GB2312" w:eastAsia="仿宋_GB2312" w:cs="仿宋_GB2312"/>
          <w:b/>
          <w:sz w:val="32"/>
          <w:szCs w:val="32"/>
        </w:rPr>
        <w:t>（5）要素供给有待增强</w:t>
      </w:r>
    </w:p>
    <w:p w14:paraId="4CEB1869">
      <w:pPr>
        <w:widowControl/>
        <w:spacing w:line="600" w:lineRule="exact"/>
        <w:ind w:firstLine="643" w:firstLineChars="200"/>
        <w:rPr>
          <w:rFonts w:hint="eastAsia" w:ascii="仿宋_GB2312" w:hAnsi="Times New Roman" w:eastAsia="仿宋_GB2312" w:cs="Times New Roman"/>
          <w:b/>
          <w:bCs/>
          <w:sz w:val="32"/>
          <w:szCs w:val="32"/>
          <w:lang w:eastAsia="zh-CN"/>
        </w:rPr>
      </w:pPr>
      <w:bookmarkStart w:id="88" w:name="_Toc10126"/>
      <w:r>
        <w:rPr>
          <w:rFonts w:hint="eastAsia" w:ascii="仿宋_GB2312" w:hAnsi="仿宋_GB2312" w:eastAsia="仿宋_GB2312" w:cs="仿宋_GB2312"/>
          <w:b/>
          <w:sz w:val="32"/>
          <w:szCs w:val="32"/>
        </w:rPr>
        <w:t>平台支撑不足，</w:t>
      </w:r>
      <w:r>
        <w:rPr>
          <w:rFonts w:hint="eastAsia" w:ascii="仿宋_GB2312" w:hAnsi="仿宋_GB2312" w:eastAsia="仿宋_GB2312" w:cs="仿宋_GB2312"/>
          <w:bCs/>
          <w:sz w:val="32"/>
          <w:szCs w:val="32"/>
        </w:rPr>
        <w:t>我市是全省5个没有国家级开发区的地级市之一，在税收、土地、信贷等方面可享受的优惠政策有限，不能充分引领区域创新发展。部分园区存在基础配套设施不</w:t>
      </w:r>
      <w:r>
        <w:rPr>
          <w:rFonts w:hint="eastAsia" w:ascii="仿宋_GB2312" w:hAnsi="仿宋_GB2312" w:eastAsia="仿宋_GB2312" w:cs="仿宋_GB2312"/>
          <w:bCs/>
          <w:sz w:val="32"/>
          <w:szCs w:val="32"/>
          <w:lang w:val="en-US" w:eastAsia="zh-CN"/>
        </w:rPr>
        <w:t>完善</w:t>
      </w:r>
      <w:r>
        <w:rPr>
          <w:rFonts w:hint="eastAsia" w:ascii="仿宋_GB2312" w:hAnsi="仿宋_GB2312" w:eastAsia="仿宋_GB2312" w:cs="仿宋_GB2312"/>
          <w:bCs/>
          <w:sz w:val="32"/>
          <w:szCs w:val="32"/>
        </w:rPr>
        <w:t>问题，在一定程度上限制了园区经济发展，影响项目落地投产进程。</w:t>
      </w:r>
      <w:r>
        <w:rPr>
          <w:rFonts w:hint="eastAsia" w:ascii="仿宋_GB2312" w:hAnsi="Times New Roman" w:eastAsia="仿宋_GB2312" w:cs="Times New Roman"/>
          <w:b/>
          <w:bCs/>
          <w:sz w:val="32"/>
          <w:szCs w:val="32"/>
        </w:rPr>
        <w:t>土地供给不足，</w:t>
      </w:r>
      <w:r>
        <w:rPr>
          <w:rFonts w:hint="eastAsia" w:ascii="仿宋_GB2312" w:hAnsi="仿宋_GB2312" w:eastAsia="仿宋_GB2312" w:cs="仿宋_GB2312"/>
          <w:bCs/>
          <w:sz w:val="32"/>
          <w:szCs w:val="32"/>
        </w:rPr>
        <w:t>用地规模受限，园区土地报批渠道不够顺畅，</w:t>
      </w:r>
      <w:r>
        <w:rPr>
          <w:rFonts w:hint="eastAsia" w:ascii="仿宋_GB2312" w:hAnsi="Times New Roman" w:eastAsia="仿宋_GB2312" w:cs="Times New Roman"/>
          <w:sz w:val="32"/>
          <w:szCs w:val="32"/>
        </w:rPr>
        <w:t>供地速度较慢；土地集中利用率、产出率不够高，</w:t>
      </w:r>
      <w:r>
        <w:rPr>
          <w:rFonts w:hint="eastAsia" w:ascii="仿宋_GB2312" w:hAnsi="Times New Roman" w:eastAsia="仿宋_GB2312" w:cs="Times New Roman"/>
          <w:sz w:val="32"/>
          <w:szCs w:val="32"/>
          <w:lang w:val="en-US" w:eastAsia="zh-CN"/>
        </w:rPr>
        <w:t>存在</w:t>
      </w:r>
      <w:r>
        <w:rPr>
          <w:rFonts w:hint="eastAsia" w:ascii="仿宋_GB2312" w:hAnsi="Times New Roman" w:eastAsia="仿宋_GB2312" w:cs="Times New Roman"/>
          <w:sz w:val="32"/>
          <w:szCs w:val="32"/>
        </w:rPr>
        <w:t>“围墙项目”占用土地资源</w:t>
      </w:r>
      <w:r>
        <w:rPr>
          <w:rFonts w:hint="eastAsia" w:ascii="仿宋_GB2312" w:hAnsi="Times New Roman" w:eastAsia="仿宋_GB2312" w:cs="Times New Roman"/>
          <w:sz w:val="32"/>
          <w:szCs w:val="32"/>
          <w:lang w:val="en-US" w:eastAsia="zh-CN"/>
        </w:rPr>
        <w:t>的情况</w:t>
      </w:r>
      <w:r>
        <w:rPr>
          <w:rFonts w:hint="eastAsia" w:ascii="仿宋_GB2312" w:hAnsi="Times New Roman" w:eastAsia="仿宋_GB2312" w:cs="Times New Roman"/>
          <w:sz w:val="32"/>
          <w:szCs w:val="32"/>
        </w:rPr>
        <w:t>，一定程度上制约了园区发展。</w:t>
      </w:r>
      <w:r>
        <w:rPr>
          <w:rFonts w:hint="eastAsia" w:ascii="仿宋_GB2312" w:hAnsi="Times New Roman" w:eastAsia="仿宋_GB2312" w:cs="Times New Roman"/>
          <w:b/>
          <w:bCs/>
          <w:sz w:val="32"/>
          <w:szCs w:val="32"/>
          <w:lang w:val="en-US" w:eastAsia="zh-CN"/>
        </w:rPr>
        <w:t>环境</w:t>
      </w:r>
      <w:r>
        <w:rPr>
          <w:rFonts w:hint="eastAsia" w:ascii="仿宋_GB2312" w:hAnsi="Times New Roman" w:eastAsia="仿宋_GB2312" w:cs="Times New Roman"/>
          <w:b/>
          <w:bCs/>
          <w:sz w:val="32"/>
          <w:szCs w:val="32"/>
          <w:lang w:eastAsia="zh-CN"/>
        </w:rPr>
        <w:t>保障不足，</w:t>
      </w:r>
      <w:r>
        <w:rPr>
          <w:rFonts w:hint="eastAsia" w:ascii="仿宋_GB2312" w:hAnsi="Times New Roman" w:eastAsia="仿宋_GB2312" w:cs="Times New Roman"/>
          <w:sz w:val="32"/>
          <w:szCs w:val="32"/>
        </w:rPr>
        <w:t>缺少专业技术人员，数据资源专业技术人员力量与实际需求不匹配；线上线下服务融合还不够，企业和群众对网上办事认可度还不高</w:t>
      </w:r>
      <w:r>
        <w:rPr>
          <w:rFonts w:hint="eastAsia" w:ascii="仿宋_GB2312" w:hAnsi="Times New Roman" w:eastAsia="仿宋_GB2312" w:cs="Times New Roman"/>
          <w:sz w:val="32"/>
          <w:szCs w:val="32"/>
          <w:lang w:eastAsia="zh-CN"/>
        </w:rPr>
        <w:t>，政务服务有待优化。</w:t>
      </w:r>
    </w:p>
    <w:p w14:paraId="23D55BE3">
      <w:pPr>
        <w:spacing w:line="600" w:lineRule="exact"/>
        <w:ind w:firstLine="643" w:firstLineChars="200"/>
        <w:outlineLvl w:val="1"/>
        <w:rPr>
          <w:rFonts w:hint="eastAsia" w:ascii="楷体_GB2312" w:hAnsi="楷体_GB2312" w:eastAsia="楷体_GB2312" w:cs="楷体_GB2312"/>
          <w:b/>
          <w:kern w:val="0"/>
          <w:sz w:val="32"/>
          <w:szCs w:val="32"/>
        </w:rPr>
      </w:pPr>
      <w:bookmarkStart w:id="89" w:name="_Toc30253"/>
      <w:bookmarkStart w:id="90" w:name="_Toc10815"/>
      <w:bookmarkStart w:id="91" w:name="_Toc9111"/>
      <w:bookmarkStart w:id="92" w:name="_Toc26406"/>
      <w:bookmarkStart w:id="93" w:name="_Toc24528"/>
      <w:bookmarkStart w:id="94" w:name="_Toc29067"/>
      <w:bookmarkStart w:id="95" w:name="_Toc28085"/>
      <w:bookmarkStart w:id="96" w:name="_Toc27339"/>
      <w:bookmarkStart w:id="97" w:name="_Toc16564"/>
      <w:bookmarkStart w:id="98" w:name="_Toc16511"/>
      <w:bookmarkStart w:id="99" w:name="_Toc13458"/>
      <w:bookmarkStart w:id="100" w:name="_Toc25602"/>
      <w:r>
        <w:rPr>
          <w:rFonts w:hint="eastAsia" w:ascii="楷体_GB2312" w:hAnsi="楷体_GB2312" w:eastAsia="楷体_GB2312" w:cs="楷体_GB2312"/>
          <w:b/>
          <w:kern w:val="0"/>
          <w:sz w:val="32"/>
          <w:szCs w:val="32"/>
        </w:rPr>
        <w:t>（二）发展环境</w:t>
      </w:r>
      <w:bookmarkEnd w:id="89"/>
      <w:bookmarkEnd w:id="90"/>
      <w:bookmarkEnd w:id="91"/>
      <w:bookmarkEnd w:id="92"/>
      <w:bookmarkEnd w:id="93"/>
      <w:bookmarkEnd w:id="94"/>
      <w:bookmarkEnd w:id="95"/>
      <w:bookmarkEnd w:id="96"/>
      <w:bookmarkEnd w:id="97"/>
      <w:bookmarkEnd w:id="98"/>
      <w:bookmarkEnd w:id="99"/>
    </w:p>
    <w:p w14:paraId="4B32CAAF">
      <w:pPr>
        <w:spacing w:line="600" w:lineRule="exact"/>
        <w:ind w:firstLine="643" w:firstLineChars="200"/>
        <w:outlineLvl w:val="2"/>
        <w:rPr>
          <w:rFonts w:hint="eastAsia"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1.发展机遇</w:t>
      </w:r>
      <w:bookmarkEnd w:id="88"/>
      <w:bookmarkEnd w:id="100"/>
    </w:p>
    <w:p w14:paraId="3BAC1721">
      <w:pPr>
        <w:pStyle w:val="23"/>
        <w:spacing w:after="0"/>
        <w:ind w:left="0" w:leftChars="0" w:firstLine="643"/>
        <w:outlineLvl w:val="3"/>
        <w:rPr>
          <w:rFonts w:ascii="仿宋_GB2312" w:hAnsi="仿宋_GB2312" w:eastAsia="仿宋_GB2312" w:cs="仿宋_GB2312"/>
          <w:b/>
          <w:sz w:val="32"/>
          <w:szCs w:val="32"/>
        </w:rPr>
      </w:pPr>
      <w:bookmarkStart w:id="101" w:name="_Toc29820"/>
      <w:r>
        <w:rPr>
          <w:rFonts w:hint="eastAsia" w:ascii="仿宋_GB2312" w:hAnsi="仿宋_GB2312" w:eastAsia="仿宋_GB2312" w:cs="仿宋_GB2312"/>
          <w:b/>
          <w:sz w:val="32"/>
          <w:szCs w:val="32"/>
        </w:rPr>
        <w:t>（1）战略叠加</w:t>
      </w:r>
      <w:r>
        <w:rPr>
          <w:rFonts w:hint="eastAsia" w:ascii="仿宋_GB2312" w:hAnsi="仿宋_GB2312" w:eastAsia="仿宋_GB2312" w:cs="仿宋_GB2312"/>
          <w:b/>
          <w:sz w:val="32"/>
          <w:szCs w:val="32"/>
          <w:lang w:val="en-US" w:eastAsia="zh-CN"/>
        </w:rPr>
        <w:t>及优势凸显</w:t>
      </w:r>
      <w:r>
        <w:rPr>
          <w:rFonts w:hint="eastAsia" w:ascii="仿宋_GB2312" w:hAnsi="仿宋_GB2312" w:eastAsia="仿宋_GB2312" w:cs="仿宋_GB2312"/>
          <w:b/>
          <w:sz w:val="32"/>
          <w:szCs w:val="32"/>
        </w:rPr>
        <w:t>为我市工业发展带来新契机</w:t>
      </w:r>
      <w:bookmarkEnd w:id="101"/>
    </w:p>
    <w:p w14:paraId="577ACB08">
      <w:pPr>
        <w:numPr>
          <w:ilvl w:val="255"/>
          <w:numId w:val="0"/>
        </w:numPr>
        <w:spacing w:line="600" w:lineRule="exact"/>
        <w:ind w:firstLine="640" w:firstLineChars="200"/>
        <w:rPr>
          <w:rFonts w:ascii="仿宋_GB2312" w:hAnsi="仿宋_GB2312" w:eastAsia="仿宋_GB2312" w:cs="仿宋_GB2312"/>
          <w:b/>
          <w:sz w:val="32"/>
          <w:szCs w:val="32"/>
        </w:rPr>
      </w:pPr>
      <w:r>
        <w:rPr>
          <w:rFonts w:hint="eastAsia" w:ascii="仿宋_GB2312" w:hAnsi="仿宋_GB2312" w:eastAsia="仿宋_GB2312" w:cs="仿宋_GB2312"/>
          <w:bCs/>
          <w:sz w:val="32"/>
          <w:szCs w:val="32"/>
        </w:rPr>
        <w:t>长三角一体化发展、中部</w:t>
      </w:r>
      <w:r>
        <w:rPr>
          <w:rFonts w:hint="eastAsia" w:ascii="仿宋_GB2312" w:hAnsi="仿宋_GB2312" w:eastAsia="仿宋_GB2312" w:cs="仿宋_GB2312"/>
          <w:bCs/>
          <w:sz w:val="32"/>
          <w:szCs w:val="32"/>
          <w:lang w:val="en-US" w:eastAsia="zh-CN"/>
        </w:rPr>
        <w:t>地区高质量发展</w:t>
      </w:r>
      <w:r>
        <w:rPr>
          <w:rFonts w:hint="eastAsia" w:ascii="仿宋_GB2312" w:hAnsi="仿宋_GB2312" w:eastAsia="仿宋_GB2312" w:cs="仿宋_GB2312"/>
          <w:bCs/>
          <w:sz w:val="32"/>
          <w:szCs w:val="32"/>
        </w:rPr>
        <w:t>、中原城市群</w:t>
      </w:r>
      <w:r>
        <w:rPr>
          <w:rFonts w:hint="eastAsia" w:ascii="仿宋_GB2312" w:hAnsi="仿宋_GB2312" w:eastAsia="仿宋_GB2312" w:cs="仿宋_GB2312"/>
          <w:bCs/>
          <w:sz w:val="32"/>
          <w:szCs w:val="32"/>
          <w:lang w:val="en-US" w:eastAsia="zh-CN"/>
        </w:rPr>
        <w:t>和</w:t>
      </w:r>
      <w:r>
        <w:rPr>
          <w:rFonts w:hint="eastAsia" w:ascii="仿宋_GB2312" w:hAnsi="仿宋_GB2312" w:eastAsia="仿宋_GB2312" w:cs="仿宋_GB2312"/>
          <w:bCs/>
          <w:sz w:val="32"/>
          <w:szCs w:val="32"/>
        </w:rPr>
        <w:t>淮河生态经济带等多重</w:t>
      </w:r>
      <w:r>
        <w:rPr>
          <w:rFonts w:hint="eastAsia" w:ascii="仿宋_GB2312" w:hAnsi="仿宋_GB2312" w:eastAsia="仿宋_GB2312" w:cs="仿宋_GB2312"/>
          <w:bCs/>
          <w:sz w:val="32"/>
          <w:szCs w:val="32"/>
          <w:lang w:val="en-US" w:eastAsia="zh-CN"/>
        </w:rPr>
        <w:t>国家</w:t>
      </w:r>
      <w:r>
        <w:rPr>
          <w:rFonts w:hint="eastAsia" w:ascii="仿宋_GB2312" w:hAnsi="仿宋_GB2312" w:eastAsia="仿宋_GB2312" w:cs="仿宋_GB2312"/>
          <w:bCs/>
          <w:sz w:val="32"/>
          <w:szCs w:val="32"/>
        </w:rPr>
        <w:t>战略</w:t>
      </w:r>
      <w:r>
        <w:rPr>
          <w:rFonts w:hint="eastAsia" w:ascii="仿宋_GB2312" w:hAnsi="仿宋_GB2312" w:eastAsia="仿宋_GB2312" w:cs="仿宋_GB2312"/>
          <w:bCs/>
          <w:sz w:val="32"/>
          <w:szCs w:val="32"/>
          <w:lang w:val="en-US" w:eastAsia="zh-CN"/>
        </w:rPr>
        <w:t>在阜阳</w:t>
      </w:r>
      <w:r>
        <w:rPr>
          <w:rFonts w:hint="eastAsia" w:ascii="仿宋_GB2312" w:hAnsi="仿宋_GB2312" w:eastAsia="仿宋_GB2312" w:cs="仿宋_GB2312"/>
          <w:bCs/>
          <w:sz w:val="32"/>
          <w:szCs w:val="32"/>
        </w:rPr>
        <w:t>交汇</w:t>
      </w:r>
      <w:r>
        <w:rPr>
          <w:rFonts w:hint="eastAsia" w:ascii="仿宋_GB2312" w:hAnsi="仿宋_GB2312" w:eastAsia="仿宋_GB2312" w:cs="仿宋_GB2312"/>
          <w:bCs/>
          <w:sz w:val="32"/>
          <w:szCs w:val="32"/>
          <w:lang w:val="en-US" w:eastAsia="zh-CN"/>
        </w:rPr>
        <w:t>实施</w:t>
      </w:r>
      <w:r>
        <w:rPr>
          <w:rFonts w:hint="eastAsia" w:ascii="仿宋_GB2312" w:hAnsi="仿宋_GB2312" w:eastAsia="仿宋_GB2312" w:cs="仿宋_GB2312"/>
          <w:bCs/>
          <w:sz w:val="32"/>
          <w:szCs w:val="32"/>
        </w:rPr>
        <w:t>，</w:t>
      </w:r>
      <w:r>
        <w:rPr>
          <w:rFonts w:hint="eastAsia" w:ascii="仿宋_GB2312" w:hAnsi="仿宋_GB2312" w:eastAsia="仿宋_GB2312" w:cs="仿宋_GB2312"/>
          <w:bCs/>
          <w:sz w:val="32"/>
          <w:szCs w:val="32"/>
          <w:lang w:val="en-US" w:eastAsia="zh-CN"/>
        </w:rPr>
        <w:t>以及《沪苏浙城市结对合作帮扶皖北城市实施方案》的发布、省大力推进皖北地区高质量发展，</w:t>
      </w:r>
      <w:r>
        <w:rPr>
          <w:rFonts w:hint="eastAsia" w:ascii="仿宋_GB2312" w:hAnsi="仿宋_GB2312" w:eastAsia="仿宋_GB2312" w:cs="仿宋_GB2312"/>
          <w:bCs/>
          <w:sz w:val="32"/>
          <w:szCs w:val="32"/>
        </w:rPr>
        <w:t>赋予我市“一重点一中心两枢纽”崭新定位，</w:t>
      </w:r>
      <w:r>
        <w:rPr>
          <w:rFonts w:hint="eastAsia" w:ascii="仿宋_GB2312" w:hAnsi="仿宋_GB2312" w:eastAsia="仿宋_GB2312" w:cs="仿宋_GB2312"/>
          <w:bCs/>
          <w:sz w:val="32"/>
          <w:szCs w:val="32"/>
          <w:lang w:val="en-US" w:eastAsia="zh-CN"/>
        </w:rPr>
        <w:t>阜阳长三角和中原城市群“双桥头堡”的区位优势、铁公机水四位一体尤其是京港台高铁交汇的交通优势、皖北承接产业转移集聚区的政策优势、“百亿粮仓”种养循环的农业优势、千万人口及辐射周边消费的人口优势更加明显，</w:t>
      </w:r>
      <w:r>
        <w:rPr>
          <w:rFonts w:hint="eastAsia" w:ascii="仿宋_GB2312" w:hAnsi="仿宋_GB2312" w:eastAsia="仿宋_GB2312" w:cs="仿宋_GB2312"/>
          <w:bCs/>
          <w:sz w:val="32"/>
          <w:szCs w:val="32"/>
        </w:rPr>
        <w:t>有利于我市扩大有效投资、承接产业转移、增强发展内生动力。“十四五”时期，我市要</w:t>
      </w:r>
      <w:r>
        <w:rPr>
          <w:rFonts w:hint="eastAsia" w:ascii="仿宋_GB2312" w:hAnsi="仿宋_GB2312" w:eastAsia="仿宋_GB2312" w:cs="仿宋_GB2312"/>
          <w:bCs/>
          <w:sz w:val="32"/>
          <w:szCs w:val="32"/>
          <w:lang w:val="en-US" w:eastAsia="zh-CN"/>
        </w:rPr>
        <w:t>强化</w:t>
      </w:r>
      <w:r>
        <w:rPr>
          <w:rFonts w:hint="eastAsia" w:ascii="仿宋_GB2312" w:hAnsi="仿宋_GB2312" w:eastAsia="仿宋_GB2312" w:cs="仿宋_GB2312"/>
          <w:bCs/>
          <w:sz w:val="32"/>
          <w:szCs w:val="32"/>
          <w:lang w:eastAsia="zh-CN"/>
        </w:rPr>
        <w:t>与长三角中心区理念、机制、项目对接，深化与中原城市群高效互动，协同推进淮河生态经济带建设，</w:t>
      </w:r>
      <w:r>
        <w:rPr>
          <w:rFonts w:hint="eastAsia" w:ascii="仿宋_GB2312" w:hAnsi="仿宋_GB2312" w:eastAsia="仿宋_GB2312" w:cs="仿宋_GB2312"/>
          <w:bCs/>
          <w:sz w:val="32"/>
          <w:szCs w:val="32"/>
          <w:lang w:val="en-US" w:eastAsia="zh-CN"/>
        </w:rPr>
        <w:t>主动加强与苏州市沟通衔接，</w:t>
      </w:r>
      <w:r>
        <w:rPr>
          <w:rFonts w:hint="eastAsia" w:ascii="仿宋_GB2312" w:hAnsi="仿宋_GB2312" w:eastAsia="仿宋_GB2312" w:cs="仿宋_GB2312"/>
          <w:bCs/>
          <w:sz w:val="32"/>
          <w:szCs w:val="32"/>
          <w:lang w:eastAsia="zh-CN"/>
        </w:rPr>
        <w:t>打造“</w:t>
      </w:r>
      <w:r>
        <w:rPr>
          <w:rFonts w:hint="eastAsia" w:ascii="仿宋_GB2312" w:hAnsi="仿宋_GB2312" w:eastAsia="仿宋_GB2312" w:cs="仿宋_GB2312"/>
          <w:bCs/>
          <w:sz w:val="32"/>
          <w:szCs w:val="32"/>
          <w:lang w:val="en-US" w:eastAsia="zh-CN"/>
        </w:rPr>
        <w:t>1+7</w:t>
      </w:r>
      <w:r>
        <w:rPr>
          <w:rFonts w:hint="eastAsia" w:ascii="仿宋_GB2312" w:hAnsi="仿宋_GB2312" w:eastAsia="仿宋_GB2312" w:cs="仿宋_GB2312"/>
          <w:bCs/>
          <w:sz w:val="32"/>
          <w:szCs w:val="32"/>
          <w:lang w:eastAsia="zh-CN"/>
        </w:rPr>
        <w:t>”承接产业转移平台体系，高水平建设皖北承接产业转移集聚区，加快建</w:t>
      </w:r>
      <w:r>
        <w:rPr>
          <w:rFonts w:hint="eastAsia" w:ascii="仿宋_GB2312" w:hAnsi="仿宋_GB2312" w:eastAsia="仿宋_GB2312" w:cs="仿宋_GB2312"/>
          <w:bCs/>
          <w:sz w:val="32"/>
          <w:szCs w:val="32"/>
          <w:lang w:val="en-US" w:eastAsia="zh-CN"/>
        </w:rPr>
        <w:t>成</w:t>
      </w:r>
      <w:r>
        <w:rPr>
          <w:rFonts w:hint="eastAsia" w:ascii="仿宋_GB2312" w:hAnsi="仿宋_GB2312" w:eastAsia="仿宋_GB2312" w:cs="仿宋_GB2312"/>
          <w:bCs/>
          <w:sz w:val="32"/>
          <w:szCs w:val="32"/>
          <w:lang w:eastAsia="zh-CN"/>
        </w:rPr>
        <w:t>中原地区新兴制造业</w:t>
      </w:r>
      <w:r>
        <w:rPr>
          <w:rFonts w:hint="eastAsia" w:ascii="仿宋_GB2312" w:hAnsi="仿宋_GB2312" w:eastAsia="仿宋_GB2312" w:cs="仿宋_GB2312"/>
          <w:bCs/>
          <w:sz w:val="32"/>
          <w:szCs w:val="32"/>
          <w:lang w:val="en-US" w:eastAsia="zh-CN"/>
        </w:rPr>
        <w:t>基地</w:t>
      </w:r>
      <w:r>
        <w:rPr>
          <w:rFonts w:hint="eastAsia" w:ascii="仿宋_GB2312" w:hAnsi="仿宋_GB2312" w:eastAsia="仿宋_GB2312" w:cs="仿宋_GB2312"/>
          <w:bCs/>
          <w:sz w:val="32"/>
          <w:szCs w:val="32"/>
        </w:rPr>
        <w:t>。</w:t>
      </w:r>
    </w:p>
    <w:p w14:paraId="492F1DC1">
      <w:pPr>
        <w:numPr>
          <w:ilvl w:val="255"/>
          <w:numId w:val="0"/>
        </w:numPr>
        <w:spacing w:line="600" w:lineRule="exact"/>
        <w:ind w:firstLine="643" w:firstLineChars="200"/>
        <w:outlineLvl w:val="3"/>
        <w:rPr>
          <w:rFonts w:ascii="仿宋_GB2312" w:hAnsi="仿宋_GB2312" w:eastAsia="仿宋_GB2312" w:cs="仿宋_GB2312"/>
          <w:b/>
          <w:sz w:val="32"/>
          <w:szCs w:val="32"/>
        </w:rPr>
      </w:pPr>
      <w:bookmarkStart w:id="102" w:name="_Toc23183"/>
      <w:r>
        <w:rPr>
          <w:rFonts w:hint="eastAsia" w:ascii="仿宋_GB2312" w:hAnsi="仿宋_GB2312" w:eastAsia="仿宋_GB2312" w:cs="仿宋_GB2312"/>
          <w:b/>
          <w:sz w:val="32"/>
          <w:szCs w:val="32"/>
        </w:rPr>
        <w:t>（2）双循环新格局为我市工业发展拓展新空间</w:t>
      </w:r>
      <w:bookmarkEnd w:id="102"/>
    </w:p>
    <w:p w14:paraId="61248DF6">
      <w:pPr>
        <w:numPr>
          <w:ilvl w:val="255"/>
          <w:numId w:val="0"/>
        </w:numPr>
        <w:spacing w:line="600" w:lineRule="exact"/>
        <w:ind w:firstLine="640" w:firstLineChars="200"/>
        <w:rPr>
          <w:rFonts w:ascii="Times New Roman" w:hAnsi="Times New Roman" w:eastAsia="仿宋_GB2312" w:cs="Times New Roman"/>
          <w:sz w:val="32"/>
        </w:rPr>
      </w:pPr>
      <w:r>
        <w:rPr>
          <w:rFonts w:ascii="Times New Roman" w:hAnsi="Times New Roman" w:eastAsia="仿宋_GB2312" w:cs="Times New Roman"/>
          <w:sz w:val="32"/>
        </w:rPr>
        <w:t>加快</w:t>
      </w:r>
      <w:r>
        <w:rPr>
          <w:rFonts w:hint="eastAsia" w:ascii="Times New Roman" w:hAnsi="Times New Roman" w:eastAsia="仿宋_GB2312" w:cs="Times New Roman"/>
          <w:sz w:val="32"/>
        </w:rPr>
        <w:t>构建</w:t>
      </w:r>
      <w:r>
        <w:rPr>
          <w:rFonts w:ascii="Times New Roman" w:hAnsi="Times New Roman" w:eastAsia="仿宋_GB2312" w:cs="Times New Roman"/>
          <w:sz w:val="32"/>
        </w:rPr>
        <w:t>以国内大循环为主体、国内国际双循环相互促进的新发展格局</w:t>
      </w:r>
      <w:r>
        <w:rPr>
          <w:rFonts w:hint="eastAsia" w:ascii="Times New Roman" w:hAnsi="Times New Roman" w:eastAsia="仿宋_GB2312" w:cs="Times New Roman"/>
          <w:sz w:val="32"/>
        </w:rPr>
        <w:t>，</w:t>
      </w:r>
      <w:r>
        <w:rPr>
          <w:rFonts w:ascii="Times New Roman" w:hAnsi="Times New Roman" w:eastAsia="仿宋_GB2312" w:cs="Times New Roman"/>
          <w:sz w:val="32"/>
        </w:rPr>
        <w:t>是党中央作出的重大战略部署。</w:t>
      </w:r>
      <w:r>
        <w:rPr>
          <w:rFonts w:hint="eastAsia" w:ascii="Times New Roman" w:hAnsi="Times New Roman" w:eastAsia="仿宋_GB2312" w:cs="Times New Roman"/>
          <w:sz w:val="32"/>
        </w:rPr>
        <w:t>未来随着国家扩大内需战略的稳步推进，</w:t>
      </w:r>
      <w:r>
        <w:rPr>
          <w:rFonts w:ascii="Times New Roman" w:hAnsi="Times New Roman" w:eastAsia="仿宋_GB2312" w:cs="Times New Roman"/>
          <w:sz w:val="32"/>
        </w:rPr>
        <w:t>国内市场对经济发展的支撑作用将进一步强化</w:t>
      </w:r>
      <w:r>
        <w:rPr>
          <w:rFonts w:hint="eastAsia" w:ascii="Times New Roman" w:hAnsi="Times New Roman" w:eastAsia="仿宋_GB2312" w:cs="Times New Roman"/>
          <w:sz w:val="32"/>
        </w:rPr>
        <w:t>。“</w:t>
      </w:r>
      <w:r>
        <w:rPr>
          <w:rFonts w:ascii="Times New Roman" w:hAnsi="Times New Roman" w:eastAsia="仿宋_GB2312" w:cs="Times New Roman"/>
          <w:sz w:val="32"/>
        </w:rPr>
        <w:t>十四五</w:t>
      </w:r>
      <w:r>
        <w:rPr>
          <w:rFonts w:hint="eastAsia" w:ascii="Times New Roman" w:hAnsi="Times New Roman" w:eastAsia="仿宋_GB2312" w:cs="Times New Roman"/>
          <w:sz w:val="32"/>
        </w:rPr>
        <w:t>”</w:t>
      </w:r>
      <w:r>
        <w:rPr>
          <w:rFonts w:ascii="Times New Roman" w:hAnsi="Times New Roman" w:eastAsia="仿宋_GB2312" w:cs="Times New Roman"/>
          <w:sz w:val="32"/>
        </w:rPr>
        <w:t>时期，</w:t>
      </w:r>
      <w:r>
        <w:rPr>
          <w:rFonts w:hint="eastAsia" w:ascii="Times New Roman" w:hAnsi="Times New Roman" w:eastAsia="仿宋_GB2312" w:cs="Times New Roman"/>
          <w:sz w:val="32"/>
        </w:rPr>
        <w:t>我市要紧抓国内扩大内需机遇，充分发挥投资空间广阔和市场潜力巨大的优势，进一步提高在“双循环”尤其是国内“大循环”中参与分工合作的嵌入度、贡献度和价值链地位，推进产业基础高级化、产业链现代化。</w:t>
      </w:r>
    </w:p>
    <w:p w14:paraId="0A12CDE5">
      <w:pPr>
        <w:numPr>
          <w:ilvl w:val="255"/>
          <w:numId w:val="0"/>
        </w:numPr>
        <w:spacing w:line="600" w:lineRule="exact"/>
        <w:ind w:firstLine="643" w:firstLineChars="200"/>
        <w:outlineLvl w:val="3"/>
        <w:rPr>
          <w:rFonts w:ascii="仿宋_GB2312" w:hAnsi="仿宋_GB2312" w:eastAsia="仿宋_GB2312" w:cs="仿宋_GB2312"/>
          <w:b/>
          <w:sz w:val="32"/>
          <w:szCs w:val="32"/>
        </w:rPr>
      </w:pPr>
      <w:bookmarkStart w:id="103" w:name="_Toc24098"/>
      <w:r>
        <w:rPr>
          <w:rFonts w:hint="eastAsia" w:ascii="仿宋_GB2312" w:hAnsi="仿宋_GB2312" w:eastAsia="仿宋_GB2312" w:cs="仿宋_GB2312"/>
          <w:b/>
          <w:sz w:val="32"/>
          <w:szCs w:val="32"/>
        </w:rPr>
        <w:t>（3）新一轮科技革命为我市工业发展增加新动能</w:t>
      </w:r>
      <w:bookmarkEnd w:id="103"/>
    </w:p>
    <w:p w14:paraId="3427A75C">
      <w:pPr>
        <w:spacing w:line="600" w:lineRule="exact"/>
        <w:ind w:firstLine="640" w:firstLineChars="200"/>
        <w:rPr>
          <w:rFonts w:ascii="Times New Roman" w:hAnsi="Times New Roman" w:eastAsia="仿宋_GB2312" w:cs="Times New Roman"/>
          <w:sz w:val="32"/>
        </w:rPr>
      </w:pPr>
      <w:r>
        <w:rPr>
          <w:rFonts w:ascii="Times New Roman" w:hAnsi="Times New Roman" w:eastAsia="仿宋_GB2312" w:cs="Times New Roman"/>
          <w:bCs/>
          <w:sz w:val="32"/>
        </w:rPr>
        <w:t>全球新一轮科技革命和产业变革</w:t>
      </w:r>
      <w:r>
        <w:rPr>
          <w:rFonts w:hint="eastAsia" w:ascii="Times New Roman" w:hAnsi="Times New Roman" w:eastAsia="仿宋_GB2312" w:cs="Times New Roman"/>
          <w:bCs/>
          <w:sz w:val="32"/>
          <w:lang w:val="en-US" w:eastAsia="zh-CN"/>
        </w:rPr>
        <w:t>加速演进</w:t>
      </w:r>
      <w:r>
        <w:rPr>
          <w:rFonts w:ascii="Times New Roman" w:hAnsi="Times New Roman" w:eastAsia="仿宋_GB2312" w:cs="Times New Roman"/>
          <w:bCs/>
          <w:sz w:val="32"/>
        </w:rPr>
        <w:t>，</w:t>
      </w:r>
      <w:r>
        <w:rPr>
          <w:rFonts w:hint="eastAsia" w:ascii="Times New Roman" w:hAnsi="Times New Roman" w:eastAsia="仿宋_GB2312" w:cs="Times New Roman"/>
          <w:bCs/>
          <w:sz w:val="32"/>
        </w:rPr>
        <w:t>两化融合、两业融合深入推进，</w:t>
      </w:r>
      <w:r>
        <w:rPr>
          <w:rFonts w:ascii="Times New Roman" w:hAnsi="Times New Roman" w:eastAsia="仿宋_GB2312" w:cs="Times New Roman"/>
          <w:bCs/>
          <w:sz w:val="32"/>
        </w:rPr>
        <w:t>数字化、</w:t>
      </w:r>
      <w:r>
        <w:rPr>
          <w:rFonts w:hint="eastAsia" w:ascii="Times New Roman" w:hAnsi="Times New Roman" w:eastAsia="仿宋_GB2312" w:cs="Times New Roman"/>
          <w:bCs/>
          <w:sz w:val="32"/>
        </w:rPr>
        <w:t>信息化、智能化已成为未来趋势。随着</w:t>
      </w:r>
      <w:r>
        <w:rPr>
          <w:rFonts w:hint="eastAsia" w:ascii="仿宋" w:hAnsi="仿宋" w:eastAsia="仿宋" w:cs="仿宋"/>
          <w:bCs/>
          <w:sz w:val="32"/>
        </w:rPr>
        <w:t>5G</w:t>
      </w:r>
      <w:r>
        <w:rPr>
          <w:rFonts w:hint="eastAsia" w:ascii="Times New Roman" w:hAnsi="Times New Roman" w:eastAsia="仿宋_GB2312" w:cs="Times New Roman"/>
          <w:bCs/>
          <w:sz w:val="32"/>
        </w:rPr>
        <w:t>基础设施的建设完善，将</w:t>
      </w:r>
      <w:r>
        <w:rPr>
          <w:rFonts w:ascii="Times New Roman" w:hAnsi="Times New Roman" w:eastAsia="仿宋_GB2312" w:cs="Times New Roman"/>
          <w:bCs/>
          <w:sz w:val="32"/>
        </w:rPr>
        <w:t>催生出关联性强和发展前景广的</w:t>
      </w:r>
      <w:r>
        <w:rPr>
          <w:rFonts w:hint="eastAsia" w:ascii="Times New Roman" w:hAnsi="Times New Roman" w:eastAsia="仿宋_GB2312" w:cs="Times New Roman"/>
          <w:bCs/>
          <w:sz w:val="32"/>
        </w:rPr>
        <w:t>新技术</w:t>
      </w:r>
      <w:r>
        <w:rPr>
          <w:rFonts w:ascii="Times New Roman" w:hAnsi="Times New Roman" w:eastAsia="仿宋_GB2312" w:cs="Times New Roman"/>
          <w:bCs/>
          <w:sz w:val="32"/>
        </w:rPr>
        <w:t>、新业态、新模式</w:t>
      </w:r>
      <w:r>
        <w:rPr>
          <w:rFonts w:hint="eastAsia" w:ascii="Times New Roman" w:hAnsi="Times New Roman" w:eastAsia="仿宋_GB2312" w:cs="Times New Roman"/>
          <w:bCs/>
          <w:sz w:val="32"/>
        </w:rPr>
        <w:t>、新</w:t>
      </w:r>
      <w:r>
        <w:rPr>
          <w:rFonts w:hint="eastAsia" w:ascii="Times New Roman" w:hAnsi="Times New Roman" w:eastAsia="仿宋_GB2312" w:cs="Times New Roman"/>
          <w:sz w:val="32"/>
        </w:rPr>
        <w:t>产业、</w:t>
      </w:r>
      <w:r>
        <w:rPr>
          <w:rFonts w:ascii="Times New Roman" w:hAnsi="Times New Roman" w:eastAsia="仿宋_GB2312" w:cs="Times New Roman"/>
          <w:sz w:val="32"/>
        </w:rPr>
        <w:t>新产品</w:t>
      </w:r>
      <w:r>
        <w:rPr>
          <w:rFonts w:hint="eastAsia" w:ascii="Times New Roman" w:hAnsi="Times New Roman" w:eastAsia="仿宋_GB2312" w:cs="Times New Roman"/>
          <w:sz w:val="32"/>
        </w:rPr>
        <w:t>，</w:t>
      </w:r>
      <w:r>
        <w:rPr>
          <w:rFonts w:ascii="Times New Roman" w:hAnsi="Times New Roman" w:eastAsia="仿宋_GB2312" w:cs="Times New Roman"/>
          <w:sz w:val="32"/>
        </w:rPr>
        <w:t>大幅提升工业发展能级和发展空间</w:t>
      </w:r>
      <w:r>
        <w:rPr>
          <w:rFonts w:hint="eastAsia" w:ascii="Times New Roman" w:hAnsi="Times New Roman" w:eastAsia="仿宋_GB2312" w:cs="Times New Roman"/>
          <w:sz w:val="32"/>
        </w:rPr>
        <w:t>。“</w:t>
      </w:r>
      <w:r>
        <w:rPr>
          <w:rFonts w:ascii="Times New Roman" w:hAnsi="Times New Roman" w:eastAsia="仿宋_GB2312" w:cs="Times New Roman"/>
          <w:sz w:val="32"/>
        </w:rPr>
        <w:t>十四五</w:t>
      </w:r>
      <w:r>
        <w:rPr>
          <w:rFonts w:hint="eastAsia" w:ascii="Times New Roman" w:hAnsi="Times New Roman" w:eastAsia="仿宋_GB2312" w:cs="Times New Roman"/>
          <w:sz w:val="32"/>
        </w:rPr>
        <w:t>”</w:t>
      </w:r>
      <w:r>
        <w:rPr>
          <w:rFonts w:ascii="Times New Roman" w:hAnsi="Times New Roman" w:eastAsia="仿宋_GB2312" w:cs="Times New Roman"/>
          <w:sz w:val="32"/>
        </w:rPr>
        <w:t>期间，</w:t>
      </w:r>
      <w:r>
        <w:rPr>
          <w:rFonts w:hint="eastAsia" w:ascii="Times New Roman" w:hAnsi="Times New Roman" w:eastAsia="仿宋_GB2312" w:cs="Times New Roman"/>
          <w:sz w:val="32"/>
        </w:rPr>
        <w:t>我市必须</w:t>
      </w:r>
      <w:r>
        <w:rPr>
          <w:rFonts w:ascii="Times New Roman" w:hAnsi="Times New Roman" w:eastAsia="仿宋_GB2312" w:cs="Times New Roman"/>
          <w:sz w:val="32"/>
        </w:rPr>
        <w:t>抢抓新一轮科技革命浪潮，推动传统产业转型升级、促进先进制造业创新发展</w:t>
      </w:r>
      <w:r>
        <w:rPr>
          <w:rFonts w:hint="eastAsia" w:ascii="Times New Roman" w:hAnsi="Times New Roman" w:eastAsia="仿宋_GB2312" w:cs="Times New Roman"/>
          <w:sz w:val="32"/>
        </w:rPr>
        <w:t>，继续优化营商环境，大力开展“双招双引”，积极承接产业转移</w:t>
      </w:r>
      <w:r>
        <w:rPr>
          <w:rFonts w:ascii="Times New Roman" w:hAnsi="Times New Roman" w:eastAsia="仿宋_GB2312" w:cs="Times New Roman"/>
          <w:sz w:val="32"/>
        </w:rPr>
        <w:t>。</w:t>
      </w:r>
    </w:p>
    <w:p w14:paraId="593E167E">
      <w:pPr>
        <w:widowControl/>
        <w:numPr>
          <w:ilvl w:val="255"/>
          <w:numId w:val="0"/>
        </w:numPr>
        <w:spacing w:line="600" w:lineRule="exact"/>
        <w:ind w:firstLine="643" w:firstLineChars="200"/>
        <w:outlineLvl w:val="3"/>
        <w:rPr>
          <w:rFonts w:ascii="仿宋_GB2312" w:hAnsi="仿宋_GB2312" w:eastAsia="仿宋_GB2312" w:cs="仿宋_GB2312"/>
          <w:b/>
          <w:sz w:val="32"/>
          <w:szCs w:val="32"/>
        </w:rPr>
      </w:pPr>
      <w:bookmarkStart w:id="104" w:name="_Toc1877"/>
      <w:bookmarkStart w:id="105" w:name="_Toc13326"/>
      <w:r>
        <w:rPr>
          <w:rFonts w:hint="eastAsia" w:ascii="仿宋_GB2312" w:hAnsi="仿宋_GB2312" w:eastAsia="仿宋_GB2312" w:cs="仿宋_GB2312"/>
          <w:b/>
          <w:sz w:val="32"/>
          <w:szCs w:val="32"/>
        </w:rPr>
        <w:t>（4）碳达峰碳中和为我市工业发展指明新方向</w:t>
      </w:r>
    </w:p>
    <w:p w14:paraId="33287B8A">
      <w:pPr>
        <w:widowControl w:val="0"/>
        <w:spacing w:line="600" w:lineRule="exact"/>
        <w:ind w:firstLine="640" w:firstLineChars="200"/>
        <w:rPr>
          <w:rFonts w:ascii="仿宋_GB2312" w:hAnsi="仿宋_GB2312" w:eastAsia="仿宋_GB2312" w:cs="仿宋_GB2312"/>
          <w:b/>
          <w:sz w:val="32"/>
          <w:szCs w:val="32"/>
        </w:rPr>
      </w:pPr>
      <w:r>
        <w:rPr>
          <w:rFonts w:hint="eastAsia" w:ascii="仿宋_GB2312" w:hAnsi="仿宋_GB2312" w:eastAsia="仿宋_GB2312" w:cs="仿宋_GB2312"/>
          <w:bCs/>
          <w:sz w:val="32"/>
          <w:szCs w:val="32"/>
          <w:lang w:val="en-US" w:eastAsia="zh-CN"/>
        </w:rPr>
        <w:t>我国坚持</w:t>
      </w:r>
      <w:r>
        <w:rPr>
          <w:rFonts w:hint="eastAsia" w:ascii="仿宋_GB2312" w:hAnsi="仿宋_GB2312" w:eastAsia="仿宋_GB2312" w:cs="仿宋_GB2312"/>
          <w:bCs/>
          <w:sz w:val="32"/>
          <w:szCs w:val="32"/>
        </w:rPr>
        <w:t>以习近平生态文明思想为指导，走生态优先、绿色低碳的发展道路，力争2030年实现碳达峰，2060年实现碳中和目标。“十四五”期间是实现碳达峰关键期和推进碳中和起步期，工业低碳发展将</w:t>
      </w:r>
      <w:r>
        <w:rPr>
          <w:rFonts w:ascii="仿宋_GB2312" w:hAnsi="仿宋_GB2312" w:eastAsia="仿宋_GB2312" w:cs="仿宋_GB2312"/>
          <w:bCs/>
          <w:sz w:val="32"/>
          <w:szCs w:val="32"/>
        </w:rPr>
        <w:t>是</w:t>
      </w:r>
      <w:r>
        <w:rPr>
          <w:rFonts w:hint="eastAsia" w:ascii="仿宋_GB2312" w:hAnsi="仿宋_GB2312" w:eastAsia="仿宋_GB2312" w:cs="仿宋_GB2312"/>
          <w:bCs/>
          <w:sz w:val="32"/>
          <w:szCs w:val="32"/>
        </w:rPr>
        <w:t>实现碳中和目标的重要内容，为我市产业结构重新布局指明了新方向。“十四五”期间，我市要抓好重点行业绿色低碳化升级改造，进一步提升产品能效水平</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重点打造风、光、火、热、储、氢能、生物质能“七位一体”的新能源产业集群，建成中原地区</w:t>
      </w:r>
      <w:r>
        <w:rPr>
          <w:rFonts w:hint="eastAsia" w:ascii="仿宋_GB2312" w:hAnsi="仿宋_GB2312" w:eastAsia="仿宋_GB2312" w:cs="仿宋_GB2312"/>
          <w:bCs/>
          <w:sz w:val="32"/>
          <w:szCs w:val="32"/>
          <w:lang w:eastAsia="zh-CN"/>
        </w:rPr>
        <w:t>新能源基地</w:t>
      </w:r>
      <w:r>
        <w:rPr>
          <w:rFonts w:hint="eastAsia" w:ascii="仿宋_GB2312" w:hAnsi="仿宋_GB2312" w:eastAsia="仿宋_GB2312" w:cs="仿宋_GB2312"/>
          <w:bCs/>
          <w:sz w:val="32"/>
          <w:szCs w:val="32"/>
        </w:rPr>
        <w:t>。</w:t>
      </w:r>
    </w:p>
    <w:p w14:paraId="480F410C">
      <w:pPr>
        <w:spacing w:line="600" w:lineRule="exact"/>
        <w:ind w:firstLine="643" w:firstLineChars="200"/>
        <w:outlineLvl w:val="2"/>
        <w:rPr>
          <w:rFonts w:hint="eastAsia"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2.发展挑战</w:t>
      </w:r>
      <w:bookmarkEnd w:id="104"/>
      <w:bookmarkEnd w:id="105"/>
    </w:p>
    <w:p w14:paraId="2DB39052">
      <w:pPr>
        <w:numPr>
          <w:ilvl w:val="255"/>
          <w:numId w:val="0"/>
        </w:numPr>
        <w:spacing w:line="600" w:lineRule="exact"/>
        <w:ind w:firstLine="643" w:firstLineChars="200"/>
        <w:outlineLvl w:val="3"/>
        <w:rPr>
          <w:rFonts w:ascii="仿宋_GB2312" w:hAnsi="仿宋_GB2312" w:eastAsia="仿宋_GB2312" w:cs="仿宋_GB2312"/>
          <w:b/>
          <w:sz w:val="32"/>
          <w:szCs w:val="32"/>
        </w:rPr>
      </w:pPr>
      <w:bookmarkStart w:id="106" w:name="_Toc3652"/>
      <w:r>
        <w:rPr>
          <w:rFonts w:hint="eastAsia" w:ascii="仿宋_GB2312" w:hAnsi="仿宋_GB2312" w:eastAsia="仿宋_GB2312" w:cs="仿宋_GB2312"/>
          <w:b/>
          <w:sz w:val="32"/>
          <w:szCs w:val="32"/>
        </w:rPr>
        <w:t>（1）全球产业链重塑带来新挑战</w:t>
      </w:r>
      <w:bookmarkEnd w:id="106"/>
    </w:p>
    <w:p w14:paraId="7DC121A6">
      <w:pPr>
        <w:numPr>
          <w:ilvl w:val="255"/>
          <w:numId w:val="0"/>
        </w:numPr>
        <w:spacing w:line="600" w:lineRule="exact"/>
        <w:ind w:firstLine="640" w:firstLineChars="200"/>
        <w:rPr>
          <w:rFonts w:ascii="仿宋_GB2312" w:hAnsi="仿宋_GB2312" w:eastAsia="仿宋_GB2312" w:cs="仿宋_GB2312"/>
          <w:b/>
          <w:sz w:val="32"/>
          <w:szCs w:val="32"/>
        </w:rPr>
      </w:pPr>
      <w:r>
        <w:rPr>
          <w:rFonts w:hint="eastAsia" w:ascii="Times New Roman" w:hAnsi="Times New Roman" w:eastAsia="仿宋_GB2312" w:cs="Times New Roman"/>
          <w:bCs/>
          <w:sz w:val="32"/>
        </w:rPr>
        <w:t>当今世界正经历百年未有之大变局，新冠肺炎疫情冲击广泛而深远，全球</w:t>
      </w:r>
      <w:r>
        <w:rPr>
          <w:rFonts w:hint="eastAsia" w:ascii="Times New Roman" w:hAnsi="Times New Roman" w:eastAsia="仿宋_GB2312" w:cs="Times New Roman"/>
          <w:sz w:val="32"/>
        </w:rPr>
        <w:t>疫情扩散蔓延态势还在持续，</w:t>
      </w:r>
      <w:r>
        <w:rPr>
          <w:rFonts w:ascii="Times New Roman" w:hAnsi="Times New Roman" w:eastAsia="仿宋_GB2312" w:cs="Times New Roman"/>
          <w:sz w:val="32"/>
        </w:rPr>
        <w:t>全球经济下行压力不断</w:t>
      </w:r>
      <w:r>
        <w:rPr>
          <w:rFonts w:hint="eastAsia" w:ascii="Times New Roman" w:hAnsi="Times New Roman" w:eastAsia="仿宋_GB2312" w:cs="Times New Roman"/>
          <w:sz w:val="32"/>
        </w:rPr>
        <w:t>增加</w:t>
      </w:r>
      <w:r>
        <w:rPr>
          <w:rFonts w:ascii="Times New Roman" w:hAnsi="Times New Roman" w:eastAsia="仿宋_GB2312" w:cs="Times New Roman"/>
          <w:sz w:val="32"/>
        </w:rPr>
        <w:t>，</w:t>
      </w:r>
      <w:r>
        <w:rPr>
          <w:rFonts w:hint="eastAsia" w:ascii="Times New Roman" w:hAnsi="Times New Roman" w:eastAsia="仿宋_GB2312" w:cs="Times New Roman"/>
          <w:sz w:val="32"/>
        </w:rPr>
        <w:t>一些发达国家为振兴经济，持续加大吸引制造业回流力度，</w:t>
      </w:r>
      <w:r>
        <w:rPr>
          <w:rFonts w:ascii="Times New Roman" w:hAnsi="Times New Roman" w:eastAsia="仿宋_GB2312" w:cs="Times New Roman"/>
          <w:sz w:val="32"/>
        </w:rPr>
        <w:t>国际产业转移对工业发展的区位优势和综合投资环境要求越来越高</w:t>
      </w:r>
      <w:r>
        <w:rPr>
          <w:rFonts w:hint="eastAsia" w:ascii="Times New Roman" w:hAnsi="Times New Roman" w:eastAsia="仿宋_GB2312" w:cs="Times New Roman"/>
          <w:sz w:val="32"/>
        </w:rPr>
        <w:t>，</w:t>
      </w:r>
      <w:r>
        <w:rPr>
          <w:rFonts w:ascii="Times New Roman" w:hAnsi="Times New Roman" w:eastAsia="仿宋_GB2312" w:cs="Times New Roman"/>
          <w:sz w:val="32"/>
        </w:rPr>
        <w:t>中国制造业正面临着全球产业链重塑的风险，工业发展</w:t>
      </w:r>
      <w:r>
        <w:rPr>
          <w:rFonts w:hint="eastAsia" w:ascii="Times New Roman" w:hAnsi="Times New Roman" w:eastAsia="仿宋_GB2312" w:cs="Times New Roman"/>
          <w:sz w:val="32"/>
        </w:rPr>
        <w:t>面临着严峻</w:t>
      </w:r>
      <w:r>
        <w:rPr>
          <w:rFonts w:ascii="Times New Roman" w:hAnsi="Times New Roman" w:eastAsia="仿宋_GB2312" w:cs="Times New Roman"/>
          <w:sz w:val="32"/>
        </w:rPr>
        <w:t>挑战。</w:t>
      </w:r>
      <w:r>
        <w:rPr>
          <w:rFonts w:hint="eastAsia" w:ascii="Times New Roman" w:hAnsi="Times New Roman" w:eastAsia="仿宋_GB2312" w:cs="Times New Roman"/>
          <w:sz w:val="32"/>
        </w:rPr>
        <w:t>“</w:t>
      </w:r>
      <w:r>
        <w:rPr>
          <w:rFonts w:ascii="Times New Roman" w:hAnsi="Times New Roman" w:eastAsia="仿宋_GB2312" w:cs="Times New Roman"/>
          <w:sz w:val="32"/>
        </w:rPr>
        <w:t>十四五</w:t>
      </w:r>
      <w:r>
        <w:rPr>
          <w:rFonts w:hint="eastAsia" w:ascii="Times New Roman" w:hAnsi="Times New Roman" w:eastAsia="仿宋_GB2312" w:cs="Times New Roman"/>
          <w:sz w:val="32"/>
        </w:rPr>
        <w:t>”</w:t>
      </w:r>
      <w:r>
        <w:rPr>
          <w:rFonts w:ascii="Times New Roman" w:hAnsi="Times New Roman" w:eastAsia="仿宋_GB2312" w:cs="Times New Roman"/>
          <w:sz w:val="32"/>
        </w:rPr>
        <w:t>期间，</w:t>
      </w:r>
      <w:r>
        <w:rPr>
          <w:rFonts w:hint="eastAsia" w:ascii="Times New Roman" w:hAnsi="Times New Roman" w:eastAsia="仿宋_GB2312" w:cs="Times New Roman"/>
          <w:sz w:val="32"/>
        </w:rPr>
        <w:t>我市要</w:t>
      </w:r>
      <w:r>
        <w:rPr>
          <w:rFonts w:ascii="Times New Roman" w:hAnsi="Times New Roman" w:eastAsia="仿宋_GB2312" w:cs="Times New Roman"/>
          <w:sz w:val="32"/>
        </w:rPr>
        <w:t>重视全球产业链调整中的规则重构</w:t>
      </w:r>
      <w:r>
        <w:rPr>
          <w:rFonts w:hint="eastAsia" w:ascii="Times New Roman" w:hAnsi="Times New Roman" w:eastAsia="仿宋_GB2312" w:cs="Times New Roman"/>
          <w:sz w:val="32"/>
        </w:rPr>
        <w:t>，</w:t>
      </w:r>
      <w:r>
        <w:rPr>
          <w:rFonts w:ascii="Times New Roman" w:hAnsi="Times New Roman" w:eastAsia="仿宋_GB2312" w:cs="Times New Roman"/>
          <w:sz w:val="32"/>
        </w:rPr>
        <w:t>以改革和创新持续推进产业链补短板</w:t>
      </w:r>
      <w:r>
        <w:rPr>
          <w:rFonts w:hint="eastAsia" w:ascii="Times New Roman" w:hAnsi="Times New Roman" w:eastAsia="仿宋_GB2312" w:cs="Times New Roman"/>
          <w:sz w:val="32"/>
        </w:rPr>
        <w:t>，保障产业链供应链安全</w:t>
      </w:r>
      <w:r>
        <w:rPr>
          <w:rFonts w:ascii="Times New Roman" w:hAnsi="Times New Roman" w:eastAsia="仿宋_GB2312" w:cs="Times New Roman"/>
          <w:sz w:val="32"/>
        </w:rPr>
        <w:t>。</w:t>
      </w:r>
    </w:p>
    <w:p w14:paraId="46988D19">
      <w:pPr>
        <w:numPr>
          <w:ilvl w:val="255"/>
          <w:numId w:val="0"/>
        </w:numPr>
        <w:spacing w:line="600" w:lineRule="exact"/>
        <w:ind w:firstLine="643" w:firstLineChars="200"/>
        <w:outlineLvl w:val="3"/>
        <w:rPr>
          <w:rFonts w:hint="eastAsia" w:ascii="仿宋_GB2312" w:hAnsi="仿宋_GB2312" w:eastAsia="仿宋_GB2312" w:cs="仿宋_GB2312"/>
          <w:b/>
          <w:sz w:val="32"/>
          <w:szCs w:val="32"/>
          <w:lang w:eastAsia="zh-CN"/>
        </w:rPr>
      </w:pPr>
      <w:bookmarkStart w:id="107" w:name="_Toc31458"/>
      <w:r>
        <w:rPr>
          <w:rFonts w:hint="eastAsia" w:ascii="仿宋_GB2312" w:hAnsi="仿宋_GB2312" w:eastAsia="仿宋_GB2312" w:cs="仿宋_GB2312"/>
          <w:b/>
          <w:sz w:val="32"/>
          <w:szCs w:val="32"/>
        </w:rPr>
        <w:t>（2）</w:t>
      </w:r>
      <w:r>
        <w:rPr>
          <w:rFonts w:hint="eastAsia" w:ascii="仿宋_GB2312" w:hAnsi="仿宋_GB2312" w:eastAsia="仿宋_GB2312" w:cs="仿宋_GB2312"/>
          <w:b/>
          <w:sz w:val="32"/>
          <w:szCs w:val="32"/>
          <w:lang w:eastAsia="zh-CN"/>
        </w:rPr>
        <w:t>高质量发展提出新要求</w:t>
      </w:r>
      <w:bookmarkEnd w:id="107"/>
    </w:p>
    <w:p w14:paraId="001DA4BA">
      <w:pPr>
        <w:spacing w:line="600" w:lineRule="exact"/>
        <w:ind w:firstLine="640" w:firstLineChars="200"/>
        <w:rPr>
          <w:rFonts w:ascii="Times New Roman" w:hAnsi="Times New Roman" w:eastAsia="仿宋_GB2312" w:cs="Times New Roman"/>
          <w:sz w:val="32"/>
        </w:rPr>
      </w:pPr>
      <w:r>
        <w:rPr>
          <w:rFonts w:ascii="Times New Roman" w:hAnsi="Times New Roman" w:eastAsia="仿宋_GB2312" w:cs="Times New Roman"/>
          <w:sz w:val="32"/>
        </w:rPr>
        <w:t>我国经济正处在转变</w:t>
      </w:r>
      <w:r>
        <w:rPr>
          <w:rFonts w:hint="eastAsia" w:ascii="Times New Roman" w:hAnsi="Times New Roman" w:eastAsia="仿宋_GB2312" w:cs="Times New Roman"/>
          <w:sz w:val="32"/>
        </w:rPr>
        <w:t>经济</w:t>
      </w:r>
      <w:r>
        <w:rPr>
          <w:rFonts w:ascii="Times New Roman" w:hAnsi="Times New Roman" w:eastAsia="仿宋_GB2312" w:cs="Times New Roman"/>
          <w:sz w:val="32"/>
        </w:rPr>
        <w:t>发展方式、优化经济</w:t>
      </w:r>
      <w:r>
        <w:rPr>
          <w:rFonts w:hint="eastAsia" w:ascii="Times New Roman" w:hAnsi="Times New Roman" w:eastAsia="仿宋_GB2312" w:cs="Times New Roman"/>
          <w:sz w:val="32"/>
        </w:rPr>
        <w:t>发展</w:t>
      </w:r>
      <w:r>
        <w:rPr>
          <w:rFonts w:ascii="Times New Roman" w:hAnsi="Times New Roman" w:eastAsia="仿宋_GB2312" w:cs="Times New Roman"/>
          <w:sz w:val="32"/>
        </w:rPr>
        <w:t>结构、转换增长动力的攻关期，</w:t>
      </w:r>
      <w:r>
        <w:rPr>
          <w:rFonts w:hint="eastAsia" w:ascii="Times New Roman" w:hAnsi="Times New Roman" w:eastAsia="仿宋_GB2312" w:cs="Times New Roman"/>
          <w:sz w:val="32"/>
        </w:rPr>
        <w:t>正由高速增长阶段转向高质量发展阶段，制造业领域也迈向高质量发展阶段，科技创新成为经济发展的核心要素，产业发展模式面临根本性转变。“</w:t>
      </w:r>
      <w:r>
        <w:rPr>
          <w:rFonts w:ascii="Times New Roman" w:hAnsi="Times New Roman" w:eastAsia="仿宋_GB2312" w:cs="Times New Roman"/>
          <w:sz w:val="32"/>
        </w:rPr>
        <w:t>十四五</w:t>
      </w:r>
      <w:r>
        <w:rPr>
          <w:rFonts w:hint="eastAsia" w:ascii="Times New Roman" w:hAnsi="Times New Roman" w:eastAsia="仿宋_GB2312" w:cs="Times New Roman"/>
          <w:sz w:val="32"/>
        </w:rPr>
        <w:t>”</w:t>
      </w:r>
      <w:r>
        <w:rPr>
          <w:rFonts w:ascii="Times New Roman" w:hAnsi="Times New Roman" w:eastAsia="仿宋_GB2312" w:cs="Times New Roman"/>
          <w:sz w:val="32"/>
        </w:rPr>
        <w:t>期间，</w:t>
      </w:r>
      <w:r>
        <w:rPr>
          <w:rFonts w:hint="eastAsia" w:ascii="Times New Roman" w:hAnsi="Times New Roman" w:eastAsia="仿宋_GB2312" w:cs="Times New Roman"/>
          <w:sz w:val="32"/>
        </w:rPr>
        <w:t>我市要</w:t>
      </w:r>
      <w:r>
        <w:rPr>
          <w:rFonts w:hint="eastAsia" w:ascii="Times New Roman" w:hAnsi="Times New Roman" w:eastAsia="仿宋_GB2312" w:cs="Times New Roman"/>
          <w:sz w:val="32"/>
          <w:lang w:eastAsia="zh-CN"/>
        </w:rPr>
        <w:t>坚持创新驱动，</w:t>
      </w:r>
      <w:r>
        <w:rPr>
          <w:rFonts w:hint="eastAsia" w:ascii="Times New Roman" w:hAnsi="Times New Roman" w:eastAsia="仿宋_GB2312" w:cs="Times New Roman"/>
          <w:sz w:val="32"/>
        </w:rPr>
        <w:t>集中力量攻关突破一批关键核心技术，</w:t>
      </w:r>
      <w:r>
        <w:rPr>
          <w:rFonts w:hint="eastAsia" w:ascii="Times New Roman" w:hAnsi="Times New Roman" w:eastAsia="仿宋_GB2312" w:cs="Times New Roman"/>
          <w:kern w:val="2"/>
          <w:sz w:val="32"/>
          <w:szCs w:val="24"/>
          <w:lang w:val="en-US" w:eastAsia="zh-CN" w:bidi="ar-SA"/>
        </w:rPr>
        <w:t>减轻制造业“卡脖”之痛。将</w:t>
      </w:r>
      <w:r>
        <w:rPr>
          <w:rFonts w:hint="eastAsia" w:ascii="Times New Roman" w:hAnsi="Times New Roman" w:eastAsia="仿宋_GB2312" w:cs="Times New Roman"/>
          <w:sz w:val="32"/>
        </w:rPr>
        <w:t>着力点放在实体经济上，加快发展先进制造业，支持传统产业</w:t>
      </w:r>
      <w:r>
        <w:rPr>
          <w:rFonts w:hint="eastAsia" w:ascii="Times New Roman" w:hAnsi="Times New Roman" w:eastAsia="仿宋_GB2312" w:cs="Times New Roman"/>
          <w:sz w:val="32"/>
          <w:lang w:eastAsia="zh-CN"/>
        </w:rPr>
        <w:t>转型</w:t>
      </w:r>
      <w:r>
        <w:rPr>
          <w:rFonts w:hint="eastAsia" w:ascii="Times New Roman" w:hAnsi="Times New Roman" w:eastAsia="仿宋_GB2312" w:cs="Times New Roman"/>
          <w:sz w:val="32"/>
        </w:rPr>
        <w:t>升级，实现制造业高质量发展。</w:t>
      </w:r>
    </w:p>
    <w:p w14:paraId="7E80D4CD">
      <w:pPr>
        <w:widowControl/>
        <w:numPr>
          <w:ilvl w:val="255"/>
          <w:numId w:val="0"/>
        </w:numPr>
        <w:spacing w:line="600" w:lineRule="exact"/>
        <w:ind w:firstLine="643" w:firstLineChars="200"/>
        <w:outlineLvl w:val="3"/>
        <w:rPr>
          <w:rFonts w:ascii="仿宋_GB2312" w:hAnsi="仿宋_GB2312" w:eastAsia="仿宋_GB2312" w:cs="仿宋_GB2312"/>
          <w:b/>
          <w:sz w:val="32"/>
          <w:szCs w:val="32"/>
        </w:rPr>
      </w:pPr>
      <w:bookmarkStart w:id="108" w:name="_Toc21940"/>
      <w:r>
        <w:rPr>
          <w:rFonts w:hint="eastAsia" w:ascii="仿宋_GB2312" w:hAnsi="仿宋_GB2312" w:eastAsia="仿宋_GB2312" w:cs="仿宋_GB2312"/>
          <w:b/>
          <w:sz w:val="32"/>
          <w:szCs w:val="32"/>
        </w:rPr>
        <w:t>（3）区域竞争发展更加激烈</w:t>
      </w:r>
      <w:bookmarkEnd w:id="108"/>
    </w:p>
    <w:p w14:paraId="51F2516D">
      <w:pPr>
        <w:spacing w:line="60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lang w:val="en-US" w:eastAsia="zh-CN"/>
        </w:rPr>
        <w:t>与安徽省内皖北周边各城市相比，虽阜阳总量规模排名靠前，但人均GDP排名靠后，整体经济实力和产业基础并不占优势，在承接产业转移的过程中仍需奋勇前进</w:t>
      </w:r>
      <w:r>
        <w:rPr>
          <w:rFonts w:hint="eastAsia" w:ascii="仿宋_GB2312" w:hAnsi="仿宋_GB2312" w:eastAsia="仿宋_GB2312" w:cs="仿宋_GB2312"/>
          <w:bCs/>
          <w:sz w:val="32"/>
          <w:szCs w:val="32"/>
        </w:rPr>
        <w:t>。</w:t>
      </w:r>
      <w:r>
        <w:rPr>
          <w:rFonts w:hint="eastAsia" w:ascii="仿宋_GB2312" w:hAnsi="仿宋_GB2312" w:eastAsia="仿宋_GB2312" w:cs="仿宋_GB2312"/>
          <w:bCs/>
          <w:sz w:val="32"/>
          <w:szCs w:val="32"/>
          <w:lang w:val="en-US" w:eastAsia="zh-CN"/>
        </w:rPr>
        <w:t>与省内滁州相比，2020年，滁州、阜阳两市GDP总量（增速）分别为3032.07（4.4%）、2805.2（3.8%），有差距但总体不大，但滁州、阜阳两市的规模以上工业增加值增速分别为7.5%、4.1%，差距较大，表明阜阳在赶超滁州的过程中，必须加快工业发展速度和质量，做好产业兴城和工业强市工作。与长三角GDP规模差距不大的宿迁、湖州相比，宿迁瞄准打造长三角先进制造业基地的战略定位，重点发展机电装备、高端纺织、绿色食品；湖州争创国家制造业高质量发展试验区，已形成</w:t>
      </w:r>
      <w:r>
        <w:rPr>
          <w:rFonts w:hint="eastAsia" w:ascii="仿宋_GB2312" w:hAnsi="仿宋_GB2312" w:eastAsia="仿宋_GB2312" w:cs="仿宋_GB2312"/>
          <w:bCs/>
          <w:i w:val="0"/>
          <w:iCs w:val="0"/>
          <w:caps w:val="0"/>
          <w:spacing w:val="0"/>
          <w:sz w:val="32"/>
          <w:szCs w:val="32"/>
          <w:shd w:val="clear"/>
        </w:rPr>
        <w:t>新能源汽车及关键零部件、绿色家居两大千亿级产业</w:t>
      </w:r>
      <w:r>
        <w:rPr>
          <w:rFonts w:hint="eastAsia" w:ascii="仿宋_GB2312" w:hAnsi="仿宋_GB2312" w:eastAsia="仿宋_GB2312" w:cs="仿宋_GB2312"/>
          <w:bCs/>
          <w:i w:val="0"/>
          <w:iCs w:val="0"/>
          <w:caps w:val="0"/>
          <w:spacing w:val="0"/>
          <w:sz w:val="32"/>
          <w:szCs w:val="32"/>
          <w:shd w:val="clear"/>
          <w:lang w:eastAsia="zh-CN"/>
        </w:rPr>
        <w:t>，</w:t>
      </w:r>
      <w:r>
        <w:rPr>
          <w:rFonts w:hint="eastAsia" w:ascii="仿宋_GB2312" w:hAnsi="仿宋_GB2312" w:eastAsia="仿宋_GB2312" w:cs="仿宋_GB2312"/>
          <w:bCs/>
          <w:i w:val="0"/>
          <w:iCs w:val="0"/>
          <w:caps w:val="0"/>
          <w:spacing w:val="0"/>
          <w:sz w:val="32"/>
          <w:szCs w:val="32"/>
          <w:shd w:val="clear"/>
          <w:lang w:val="en-US" w:eastAsia="zh-CN"/>
        </w:rPr>
        <w:t>相比阜阳，两市制造业呈现高端化、集群化、规模化发展格局。与中原地区周边城市周口、驻马店、信阳相比，阜阳与这三个城市均属于传统的农业大市，</w:t>
      </w:r>
      <w:r>
        <w:rPr>
          <w:rFonts w:hint="eastAsia" w:ascii="仿宋_GB2312" w:hAnsi="仿宋_GB2312" w:eastAsia="仿宋_GB2312" w:cs="仿宋_GB2312"/>
          <w:bCs/>
          <w:sz w:val="32"/>
          <w:szCs w:val="32"/>
          <w:lang w:val="en-US" w:eastAsia="zh-CN"/>
        </w:rPr>
        <w:t>各地资源禀赋、产业基础较为相似，存在人才、资源、项目的竞争。</w:t>
      </w:r>
      <w:r>
        <w:rPr>
          <w:rFonts w:hint="eastAsia" w:ascii="仿宋_GB2312" w:hAnsi="仿宋_GB2312" w:eastAsia="仿宋_GB2312" w:cs="仿宋_GB2312"/>
          <w:bCs/>
          <w:sz w:val="32"/>
          <w:szCs w:val="32"/>
        </w:rPr>
        <w:t>“十四五”期间，我市应</w:t>
      </w:r>
      <w:r>
        <w:rPr>
          <w:rFonts w:hint="eastAsia" w:ascii="仿宋_GB2312" w:hAnsi="仿宋_GB2312" w:eastAsia="仿宋_GB2312" w:cs="仿宋_GB2312"/>
          <w:bCs/>
          <w:sz w:val="32"/>
          <w:szCs w:val="32"/>
          <w:lang w:val="en-US" w:eastAsia="zh-CN"/>
        </w:rPr>
        <w:t>在结合</w:t>
      </w:r>
      <w:r>
        <w:rPr>
          <w:rFonts w:hint="eastAsia" w:ascii="仿宋_GB2312" w:hAnsi="仿宋_GB2312" w:eastAsia="仿宋_GB2312" w:cs="仿宋_GB2312"/>
          <w:bCs/>
          <w:sz w:val="32"/>
          <w:szCs w:val="32"/>
        </w:rPr>
        <w:t>自身资源优势</w:t>
      </w:r>
      <w:r>
        <w:rPr>
          <w:rFonts w:hint="eastAsia" w:ascii="仿宋_GB2312" w:hAnsi="仿宋_GB2312" w:eastAsia="仿宋_GB2312" w:cs="仿宋_GB2312"/>
          <w:bCs/>
          <w:sz w:val="32"/>
          <w:szCs w:val="32"/>
          <w:lang w:val="en-US" w:eastAsia="zh-CN"/>
        </w:rPr>
        <w:t>的基础上</w:t>
      </w:r>
      <w:r>
        <w:rPr>
          <w:rFonts w:hint="eastAsia" w:ascii="仿宋_GB2312" w:hAnsi="仿宋_GB2312" w:eastAsia="仿宋_GB2312" w:cs="仿宋_GB2312"/>
          <w:bCs/>
          <w:sz w:val="32"/>
          <w:szCs w:val="32"/>
        </w:rPr>
        <w:t>，重点在战略性新兴产业和高新技术产业等领域与先发地区开展合作，</w:t>
      </w:r>
      <w:r>
        <w:rPr>
          <w:rFonts w:hint="eastAsia" w:ascii="仿宋_GB2312" w:hAnsi="仿宋_GB2312" w:eastAsia="仿宋_GB2312" w:cs="仿宋_GB2312"/>
          <w:bCs/>
          <w:sz w:val="32"/>
          <w:szCs w:val="32"/>
          <w:lang w:val="en-US" w:eastAsia="zh-CN"/>
        </w:rPr>
        <w:t>做好高端产业的承接转移，</w:t>
      </w:r>
      <w:r>
        <w:rPr>
          <w:rFonts w:hint="eastAsia" w:ascii="仿宋_GB2312" w:hAnsi="仿宋_GB2312" w:eastAsia="仿宋_GB2312" w:cs="仿宋_GB2312"/>
          <w:bCs/>
          <w:sz w:val="32"/>
          <w:szCs w:val="32"/>
        </w:rPr>
        <w:t>发展壮大自身特色产业。</w:t>
      </w:r>
    </w:p>
    <w:p w14:paraId="41FA2950">
      <w:pPr>
        <w:pStyle w:val="33"/>
        <w:spacing w:line="600" w:lineRule="exact"/>
        <w:ind w:firstLine="643"/>
        <w:outlineLvl w:val="3"/>
        <w:rPr>
          <w:rFonts w:ascii="仿宋_GB2312" w:hAnsi="仿宋_GB2312" w:eastAsia="仿宋_GB2312" w:cs="仿宋_GB2312"/>
          <w:b/>
          <w:sz w:val="32"/>
          <w:szCs w:val="32"/>
        </w:rPr>
      </w:pPr>
      <w:bookmarkStart w:id="109" w:name="_Toc27630"/>
      <w:r>
        <w:rPr>
          <w:rFonts w:hint="eastAsia" w:ascii="仿宋_GB2312" w:hAnsi="仿宋_GB2312" w:eastAsia="仿宋_GB2312" w:cs="仿宋_GB2312"/>
          <w:b/>
          <w:sz w:val="32"/>
          <w:szCs w:val="32"/>
        </w:rPr>
        <w:t>（4）</w:t>
      </w:r>
      <w:r>
        <w:rPr>
          <w:rFonts w:hint="eastAsia" w:ascii="仿宋_GB2312" w:hAnsi="仿宋_GB2312" w:eastAsia="仿宋_GB2312" w:cs="仿宋_GB2312"/>
          <w:b/>
          <w:sz w:val="32"/>
          <w:szCs w:val="32"/>
          <w:lang w:eastAsia="zh-CN"/>
        </w:rPr>
        <w:t>资源要素趋紧</w:t>
      </w:r>
      <w:r>
        <w:rPr>
          <w:rFonts w:hint="eastAsia" w:ascii="仿宋_GB2312" w:hAnsi="仿宋_GB2312" w:eastAsia="仿宋_GB2312" w:cs="仿宋_GB2312"/>
          <w:b/>
          <w:sz w:val="32"/>
          <w:szCs w:val="32"/>
        </w:rPr>
        <w:t>日益明显</w:t>
      </w:r>
    </w:p>
    <w:p w14:paraId="520AFF83">
      <w:pPr>
        <w:widowControl/>
        <w:spacing w:line="600" w:lineRule="exact"/>
        <w:ind w:firstLine="640" w:firstLineChars="200"/>
        <w:jc w:val="left"/>
        <w:rPr>
          <w:rFonts w:ascii="仿宋_GB2312" w:hAnsi="仿宋_GB2312" w:eastAsia="仿宋_GB2312" w:cs="仿宋_GB2312"/>
          <w:bCs/>
          <w:sz w:val="32"/>
          <w:szCs w:val="32"/>
        </w:rPr>
      </w:pPr>
      <w:r>
        <w:rPr>
          <w:rFonts w:hint="eastAsia" w:ascii="仿宋_GB2312" w:hAnsi="仿宋_GB2312" w:eastAsia="仿宋_GB2312" w:cs="仿宋_GB2312"/>
          <w:bCs/>
          <w:color w:val="000000"/>
          <w:kern w:val="2"/>
          <w:sz w:val="32"/>
          <w:szCs w:val="32"/>
          <w:lang w:val="en-US" w:eastAsia="zh-CN" w:bidi="ar"/>
        </w:rPr>
        <w:t>随着碳达峰碳中和目标的提出，传统产业发展的生态环境要素约束日趋紧张</w:t>
      </w:r>
      <w:r>
        <w:rPr>
          <w:rFonts w:hint="eastAsia" w:ascii="仿宋_GB2312" w:hAnsi="仿宋_GB2312" w:eastAsia="仿宋_GB2312" w:cs="仿宋_GB2312"/>
          <w:bCs/>
          <w:kern w:val="2"/>
          <w:sz w:val="32"/>
          <w:szCs w:val="32"/>
          <w:lang w:val="en-US" w:eastAsia="zh-CN" w:bidi="ar"/>
        </w:rPr>
        <w:t>。</w:t>
      </w:r>
      <w:r>
        <w:rPr>
          <w:rFonts w:hint="eastAsia" w:ascii="仿宋_GB2312" w:hAnsi="仿宋_GB2312" w:eastAsia="仿宋_GB2312" w:cs="仿宋_GB2312"/>
          <w:bCs/>
          <w:sz w:val="32"/>
          <w:szCs w:val="32"/>
        </w:rPr>
        <w:t>房价、地价上涨较快对工业形成“挤出效应”，工业用地指标紧缺。金融支持制造业力度不足，融资渠道单一、融资成本较高、融资周期较长。周边城市加码人才新政，上海、南京、杭州、合肥等大城市的“虹吸效应”超过“溢出效应”，从过去专注高层次人才向覆盖大专生、技术人才转变，人才队伍“空心化”风险加大。“十四五”期间，我市应</w:t>
      </w:r>
      <w:r>
        <w:rPr>
          <w:rFonts w:hint="eastAsia" w:ascii="仿宋_GB2312" w:hAnsi="仿宋_GB2312" w:eastAsia="仿宋_GB2312" w:cs="仿宋_GB2312"/>
          <w:bCs/>
          <w:sz w:val="32"/>
          <w:szCs w:val="32"/>
          <w:lang w:eastAsia="zh-CN"/>
        </w:rPr>
        <w:t>坚持绿色低碳发展，</w:t>
      </w:r>
      <w:r>
        <w:rPr>
          <w:rFonts w:hint="eastAsia" w:ascii="仿宋_GB2312" w:hAnsi="仿宋_GB2312" w:eastAsia="仿宋_GB2312" w:cs="仿宋_GB2312"/>
          <w:bCs/>
          <w:sz w:val="32"/>
          <w:szCs w:val="32"/>
        </w:rPr>
        <w:t>集约节约利用土地资源，加强金融对制造业支持力度，拓宽融资渠道，加大招才引智力度，减轻要素成本对工业发展的制约。</w:t>
      </w:r>
      <w:bookmarkEnd w:id="109"/>
    </w:p>
    <w:p w14:paraId="09ED1A97">
      <w:pPr>
        <w:ind w:firstLine="640" w:firstLineChars="200"/>
        <w:outlineLvl w:val="0"/>
        <w:rPr>
          <w:rFonts w:ascii="黑体" w:hAnsi="黑体" w:eastAsia="黑体" w:cs="黑体"/>
          <w:sz w:val="32"/>
          <w:szCs w:val="32"/>
        </w:rPr>
      </w:pPr>
      <w:bookmarkStart w:id="110" w:name="_Toc25154"/>
      <w:bookmarkStart w:id="111" w:name="_Toc29459"/>
      <w:bookmarkStart w:id="112" w:name="_Toc4627"/>
      <w:bookmarkStart w:id="113" w:name="_Toc29049"/>
      <w:bookmarkStart w:id="114" w:name="_Toc5152"/>
      <w:bookmarkStart w:id="115" w:name="_Toc23325"/>
      <w:bookmarkStart w:id="116" w:name="_Toc19145"/>
      <w:bookmarkStart w:id="117" w:name="_Toc29804"/>
      <w:bookmarkStart w:id="118" w:name="_Toc16974"/>
      <w:bookmarkStart w:id="119" w:name="_Toc3079"/>
      <w:bookmarkStart w:id="120" w:name="_Toc1473"/>
      <w:bookmarkStart w:id="121" w:name="_Toc21401"/>
      <w:bookmarkStart w:id="122" w:name="_Toc26493"/>
      <w:bookmarkStart w:id="123" w:name="_Toc5174"/>
      <w:r>
        <w:rPr>
          <w:rFonts w:hint="eastAsia" w:ascii="黑体" w:hAnsi="黑体" w:eastAsia="黑体" w:cs="黑体"/>
          <w:sz w:val="32"/>
          <w:szCs w:val="32"/>
        </w:rPr>
        <w:t>二、</w:t>
      </w:r>
      <w:bookmarkEnd w:id="110"/>
      <w:r>
        <w:rPr>
          <w:rFonts w:hint="eastAsia" w:ascii="黑体" w:hAnsi="黑体" w:eastAsia="黑体" w:cs="黑体"/>
          <w:sz w:val="32"/>
          <w:szCs w:val="32"/>
        </w:rPr>
        <w:t>总体思路</w:t>
      </w:r>
      <w:bookmarkEnd w:id="111"/>
      <w:bookmarkEnd w:id="112"/>
      <w:bookmarkEnd w:id="113"/>
      <w:bookmarkEnd w:id="114"/>
      <w:bookmarkEnd w:id="115"/>
      <w:bookmarkEnd w:id="116"/>
      <w:bookmarkEnd w:id="117"/>
      <w:bookmarkEnd w:id="118"/>
      <w:bookmarkEnd w:id="119"/>
      <w:bookmarkEnd w:id="120"/>
      <w:bookmarkEnd w:id="121"/>
      <w:bookmarkEnd w:id="122"/>
      <w:bookmarkEnd w:id="123"/>
    </w:p>
    <w:p w14:paraId="66397F20">
      <w:pPr>
        <w:spacing w:line="600" w:lineRule="exact"/>
        <w:ind w:firstLine="643" w:firstLineChars="200"/>
        <w:outlineLvl w:val="1"/>
        <w:rPr>
          <w:rFonts w:ascii="楷体_GB2312" w:hAnsi="楷体_GB2312" w:eastAsia="楷体_GB2312" w:cs="楷体_GB2312"/>
          <w:b/>
          <w:bCs/>
          <w:sz w:val="32"/>
          <w:szCs w:val="32"/>
        </w:rPr>
      </w:pPr>
      <w:bookmarkStart w:id="124" w:name="_Toc4173"/>
      <w:bookmarkStart w:id="125" w:name="_Toc25815"/>
      <w:bookmarkStart w:id="126" w:name="_Toc23120"/>
      <w:bookmarkStart w:id="127" w:name="_Toc28134"/>
      <w:bookmarkStart w:id="128" w:name="_Toc2210"/>
      <w:bookmarkStart w:id="129" w:name="_Toc4298"/>
      <w:bookmarkStart w:id="130" w:name="_Toc16998"/>
      <w:bookmarkStart w:id="131" w:name="_Toc13938"/>
      <w:bookmarkStart w:id="132" w:name="_Toc23754"/>
      <w:bookmarkStart w:id="133" w:name="_Toc23695"/>
      <w:bookmarkStart w:id="134" w:name="_Toc18531"/>
      <w:bookmarkStart w:id="135" w:name="_Toc7512"/>
      <w:bookmarkStart w:id="136" w:name="_Toc3039"/>
      <w:bookmarkStart w:id="137" w:name="_Toc30080"/>
      <w:bookmarkStart w:id="138" w:name="_Toc17960"/>
      <w:r>
        <w:rPr>
          <w:rFonts w:hint="eastAsia" w:ascii="楷体_GB2312" w:hAnsi="楷体_GB2312" w:eastAsia="楷体_GB2312" w:cs="楷体_GB2312"/>
          <w:b/>
          <w:bCs/>
          <w:sz w:val="32"/>
          <w:szCs w:val="32"/>
        </w:rPr>
        <w:t>（一）指导思想</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14:paraId="6D81E7D0">
      <w:pPr>
        <w:spacing w:line="600" w:lineRule="exact"/>
        <w:ind w:firstLine="640" w:firstLineChars="200"/>
        <w:rPr>
          <w:rFonts w:ascii="Times New Roman" w:hAnsi="Times New Roman" w:eastAsia="仿宋_GB2312" w:cs="Times New Roman"/>
          <w:sz w:val="32"/>
        </w:rPr>
      </w:pPr>
      <w:r>
        <w:rPr>
          <w:rFonts w:hint="eastAsia" w:ascii="Times New Roman" w:hAnsi="Times New Roman" w:eastAsia="仿宋_GB2312" w:cs="Times New Roman"/>
          <w:sz w:val="32"/>
        </w:rPr>
        <w:t>以习近平新时代中国特色社会主义思想为指导，全面贯彻落实党的十九大和十九届</w:t>
      </w:r>
      <w:r>
        <w:rPr>
          <w:rFonts w:hint="eastAsia" w:ascii="Times New Roman" w:hAnsi="Times New Roman" w:eastAsia="仿宋_GB2312" w:cs="Times New Roman"/>
          <w:sz w:val="32"/>
          <w:lang w:val="en-US" w:eastAsia="zh-CN"/>
        </w:rPr>
        <w:t>历次</w:t>
      </w:r>
      <w:r>
        <w:rPr>
          <w:rFonts w:hint="eastAsia" w:ascii="Times New Roman" w:hAnsi="Times New Roman" w:eastAsia="仿宋_GB2312" w:cs="Times New Roman"/>
          <w:sz w:val="32"/>
        </w:rPr>
        <w:t>全会精神，深入学习贯彻习近平总书记考察安徽</w:t>
      </w:r>
      <w:r>
        <w:rPr>
          <w:rFonts w:hint="eastAsia" w:ascii="Times New Roman" w:hAnsi="Times New Roman" w:eastAsia="仿宋_GB2312" w:cs="Times New Roman"/>
          <w:sz w:val="32"/>
          <w:lang w:val="en-US" w:eastAsia="zh-CN"/>
        </w:rPr>
        <w:t>及阜阳</w:t>
      </w:r>
      <w:r>
        <w:rPr>
          <w:rFonts w:hint="eastAsia" w:ascii="Times New Roman" w:hAnsi="Times New Roman" w:eastAsia="仿宋_GB2312" w:cs="Times New Roman"/>
          <w:sz w:val="32"/>
        </w:rPr>
        <w:t>重要讲话指示精神，落实省委省政府决策部署，立足新发展阶段，完整准确全面贯彻新发展理念，</w:t>
      </w:r>
      <w:r>
        <w:rPr>
          <w:rFonts w:hint="eastAsia" w:ascii="Times New Roman" w:hAnsi="Times New Roman" w:eastAsia="仿宋_GB2312" w:cs="Times New Roman"/>
          <w:sz w:val="32"/>
          <w:lang w:eastAsia="zh-CN"/>
        </w:rPr>
        <w:t>服务</w:t>
      </w:r>
      <w:r>
        <w:rPr>
          <w:rFonts w:hint="eastAsia" w:ascii="Times New Roman" w:hAnsi="Times New Roman" w:eastAsia="仿宋_GB2312" w:cs="Times New Roman"/>
          <w:sz w:val="32"/>
          <w:lang w:val="en-US" w:eastAsia="zh-CN"/>
        </w:rPr>
        <w:t>和融入</w:t>
      </w:r>
      <w:r>
        <w:rPr>
          <w:rFonts w:hint="eastAsia" w:ascii="Times New Roman" w:hAnsi="Times New Roman" w:eastAsia="仿宋_GB2312" w:cs="Times New Roman"/>
          <w:sz w:val="32"/>
        </w:rPr>
        <w:t>新发展格局，</w:t>
      </w:r>
      <w:r>
        <w:rPr>
          <w:rFonts w:hint="eastAsia" w:ascii="Times New Roman" w:hAnsi="Times New Roman" w:eastAsia="仿宋_GB2312" w:cs="Times New Roman"/>
          <w:sz w:val="32"/>
          <w:lang w:val="en-US" w:eastAsia="zh-CN"/>
        </w:rPr>
        <w:t>牢牢把握稳中求进工作总基调，</w:t>
      </w:r>
      <w:r>
        <w:rPr>
          <w:rFonts w:hint="eastAsia" w:ascii="Times New Roman" w:hAnsi="Times New Roman" w:eastAsia="仿宋_GB2312" w:cs="Times New Roman"/>
          <w:sz w:val="32"/>
        </w:rPr>
        <w:t>以推动高质量发展为主题，以深化供给侧结构性改革为主线，以改革创新为根本动力，</w:t>
      </w:r>
      <w:r>
        <w:rPr>
          <w:rFonts w:hint="eastAsia" w:ascii="Times New Roman" w:hAnsi="Times New Roman" w:eastAsia="仿宋_GB2312" w:cs="Times New Roman"/>
          <w:sz w:val="32"/>
          <w:lang w:val="en-US" w:eastAsia="zh-CN"/>
        </w:rPr>
        <w:t>坚持产业兴城、工业强市战略不动摇，</w:t>
      </w:r>
      <w:r>
        <w:rPr>
          <w:rFonts w:hint="eastAsia" w:ascii="Times New Roman" w:hAnsi="Times New Roman" w:eastAsia="仿宋_GB2312" w:cs="Times New Roman"/>
          <w:sz w:val="32"/>
        </w:rPr>
        <w:t>抢抓融入长三角、高铁全覆盖机遇</w:t>
      </w:r>
      <w:r>
        <w:rPr>
          <w:rFonts w:hint="eastAsia" w:ascii="Times New Roman" w:hAnsi="Times New Roman" w:eastAsia="仿宋_GB2312" w:cs="Times New Roman"/>
          <w:sz w:val="32"/>
          <w:lang w:eastAsia="zh-CN"/>
        </w:rPr>
        <w:t>，</w:t>
      </w:r>
      <w:r>
        <w:rPr>
          <w:rFonts w:hint="eastAsia" w:ascii="Times New Roman" w:hAnsi="Times New Roman" w:eastAsia="仿宋_GB2312" w:cs="Times New Roman"/>
          <w:sz w:val="32"/>
          <w:lang w:val="en-US" w:eastAsia="zh-CN"/>
        </w:rPr>
        <w:t>围绕十大特色产业、聚焦</w:t>
      </w:r>
      <w:r>
        <w:rPr>
          <w:rFonts w:hint="default" w:ascii="Times New Roman" w:hAnsi="Times New Roman" w:eastAsia="仿宋_GB2312" w:cs="Times New Roman"/>
          <w:sz w:val="32"/>
          <w:lang w:val="en-US" w:eastAsia="zh-CN"/>
        </w:rPr>
        <w:t>“8+N”现代工业体系</w:t>
      </w:r>
      <w:r>
        <w:rPr>
          <w:rFonts w:hint="eastAsia" w:ascii="Times New Roman" w:hAnsi="Times New Roman" w:eastAsia="仿宋_GB2312" w:cs="Times New Roman"/>
          <w:sz w:val="32"/>
          <w:lang w:val="en-US" w:eastAsia="zh-CN"/>
        </w:rPr>
        <w:t>，</w:t>
      </w:r>
      <w:r>
        <w:rPr>
          <w:rFonts w:hint="eastAsia" w:ascii="Times New Roman" w:hAnsi="Times New Roman" w:eastAsia="仿宋_GB2312" w:cs="Times New Roman"/>
          <w:sz w:val="32"/>
        </w:rPr>
        <w:t>以</w:t>
      </w:r>
      <w:r>
        <w:rPr>
          <w:rFonts w:hint="eastAsia" w:ascii="Times New Roman" w:hAnsi="Times New Roman" w:eastAsia="仿宋_GB2312" w:cs="Times New Roman"/>
          <w:sz w:val="32"/>
          <w:lang w:val="en-US" w:eastAsia="zh-CN"/>
        </w:rPr>
        <w:t>信息</w:t>
      </w:r>
      <w:r>
        <w:rPr>
          <w:rFonts w:hint="eastAsia" w:ascii="Times New Roman" w:hAnsi="Times New Roman" w:eastAsia="仿宋_GB2312" w:cs="Times New Roman"/>
          <w:sz w:val="32"/>
        </w:rPr>
        <w:t>化、</w:t>
      </w:r>
      <w:r>
        <w:rPr>
          <w:rFonts w:hint="eastAsia" w:ascii="Times New Roman" w:hAnsi="Times New Roman" w:eastAsia="仿宋_GB2312" w:cs="Times New Roman"/>
          <w:sz w:val="32"/>
          <w:lang w:val="en-US" w:eastAsia="zh-CN"/>
        </w:rPr>
        <w:t>网络</w:t>
      </w:r>
      <w:r>
        <w:rPr>
          <w:rFonts w:hint="eastAsia" w:ascii="Times New Roman" w:hAnsi="Times New Roman" w:eastAsia="仿宋_GB2312" w:cs="Times New Roman"/>
          <w:sz w:val="32"/>
        </w:rPr>
        <w:t>化、</w:t>
      </w:r>
      <w:r>
        <w:rPr>
          <w:rFonts w:hint="eastAsia" w:ascii="Times New Roman" w:hAnsi="Times New Roman" w:eastAsia="仿宋_GB2312" w:cs="Times New Roman"/>
          <w:sz w:val="32"/>
          <w:lang w:val="en-US" w:eastAsia="zh-CN"/>
        </w:rPr>
        <w:t>智能</w:t>
      </w:r>
      <w:r>
        <w:rPr>
          <w:rFonts w:hint="eastAsia" w:ascii="Times New Roman" w:hAnsi="Times New Roman" w:eastAsia="仿宋_GB2312" w:cs="Times New Roman"/>
          <w:sz w:val="32"/>
        </w:rPr>
        <w:t>化为方向，实施</w:t>
      </w:r>
      <w:r>
        <w:rPr>
          <w:rFonts w:hint="eastAsia" w:ascii="Times New Roman" w:hAnsi="Times New Roman" w:eastAsia="仿宋_GB2312" w:cs="Times New Roman"/>
          <w:sz w:val="32"/>
          <w:lang w:val="en-US" w:eastAsia="zh-CN"/>
        </w:rPr>
        <w:t>工业高质量发展七大重点任务，</w:t>
      </w:r>
      <w:r>
        <w:rPr>
          <w:rFonts w:hint="eastAsia" w:ascii="Times New Roman" w:hAnsi="Times New Roman" w:eastAsia="仿宋_GB2312" w:cs="Times New Roman"/>
          <w:sz w:val="32"/>
        </w:rPr>
        <w:t>不断优化工业发展布局，提升产业链供应链现代化水平，</w:t>
      </w:r>
      <w:r>
        <w:rPr>
          <w:rFonts w:hint="eastAsia" w:ascii="Times New Roman" w:hAnsi="Times New Roman" w:eastAsia="仿宋_GB2312" w:cs="Times New Roman"/>
          <w:sz w:val="32"/>
          <w:lang w:val="en-US" w:eastAsia="zh-CN"/>
        </w:rPr>
        <w:t>有序承接产业转移</w:t>
      </w:r>
      <w:r>
        <w:rPr>
          <w:rFonts w:hint="eastAsia" w:ascii="Times New Roman" w:hAnsi="Times New Roman" w:eastAsia="仿宋_GB2312" w:cs="Times New Roman"/>
          <w:sz w:val="32"/>
        </w:rPr>
        <w:t>，积极打造带动皖北、支撑中原城市群发展的重要增长极</w:t>
      </w:r>
      <w:r>
        <w:rPr>
          <w:rFonts w:hint="eastAsia" w:ascii="Times New Roman" w:hAnsi="Times New Roman" w:eastAsia="仿宋_GB2312" w:cs="Times New Roman"/>
          <w:sz w:val="32"/>
          <w:lang w:eastAsia="zh-CN"/>
        </w:rPr>
        <w:t>，</w:t>
      </w:r>
      <w:r>
        <w:rPr>
          <w:rFonts w:hint="eastAsia" w:ascii="Times New Roman" w:hAnsi="Times New Roman" w:eastAsia="仿宋_GB2312" w:cs="Times New Roman"/>
          <w:sz w:val="32"/>
          <w:lang w:val="en-US" w:eastAsia="zh-CN"/>
        </w:rPr>
        <w:t>为全市加快建设“三地一区一城”做出重要贡献</w:t>
      </w:r>
      <w:r>
        <w:rPr>
          <w:rFonts w:hint="eastAsia" w:ascii="Times New Roman" w:hAnsi="Times New Roman" w:eastAsia="仿宋_GB2312" w:cs="Times New Roman"/>
          <w:sz w:val="32"/>
        </w:rPr>
        <w:t>。</w:t>
      </w:r>
    </w:p>
    <w:p w14:paraId="68F9527D">
      <w:pPr>
        <w:spacing w:line="600" w:lineRule="exact"/>
        <w:ind w:firstLine="643" w:firstLineChars="200"/>
        <w:outlineLvl w:val="1"/>
        <w:rPr>
          <w:rFonts w:ascii="楷体_GB2312" w:hAnsi="楷体_GB2312" w:eastAsia="楷体_GB2312" w:cs="楷体_GB2312"/>
          <w:b/>
          <w:bCs/>
          <w:sz w:val="32"/>
          <w:szCs w:val="32"/>
        </w:rPr>
      </w:pPr>
      <w:bookmarkStart w:id="139" w:name="_Toc2919"/>
      <w:bookmarkStart w:id="140" w:name="_Toc10229"/>
      <w:bookmarkStart w:id="141" w:name="_Toc27904"/>
      <w:bookmarkStart w:id="142" w:name="_Toc8957"/>
      <w:bookmarkStart w:id="143" w:name="_Toc14793"/>
      <w:bookmarkStart w:id="144" w:name="_Toc19551"/>
      <w:bookmarkStart w:id="145" w:name="_Toc12468"/>
      <w:bookmarkStart w:id="146" w:name="_Toc22495"/>
      <w:bookmarkStart w:id="147" w:name="_Toc29120"/>
      <w:bookmarkStart w:id="148" w:name="_Toc13918"/>
      <w:bookmarkStart w:id="149" w:name="_Toc21195"/>
      <w:bookmarkStart w:id="150" w:name="_Toc14377"/>
      <w:bookmarkStart w:id="151" w:name="_Toc31689"/>
      <w:bookmarkStart w:id="152" w:name="_Toc4808"/>
      <w:bookmarkStart w:id="153" w:name="_Toc1804"/>
      <w:bookmarkStart w:id="154" w:name="_Toc11708"/>
      <w:bookmarkStart w:id="155" w:name="_Toc17654"/>
      <w:bookmarkStart w:id="156" w:name="_Toc27289"/>
      <w:bookmarkStart w:id="157" w:name="_Toc31327"/>
      <w:bookmarkStart w:id="158" w:name="_Toc6509"/>
      <w:r>
        <w:rPr>
          <w:rFonts w:hint="eastAsia" w:ascii="楷体_GB2312" w:hAnsi="楷体_GB2312" w:eastAsia="楷体_GB2312" w:cs="楷体_GB2312"/>
          <w:b/>
          <w:bCs/>
          <w:sz w:val="32"/>
          <w:szCs w:val="32"/>
        </w:rPr>
        <w:t>（二）发展原则</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1F33F9BD">
      <w:pPr>
        <w:spacing w:line="600" w:lineRule="exact"/>
        <w:ind w:firstLine="643" w:firstLineChars="200"/>
        <w:rPr>
          <w:rFonts w:ascii="Times New Roman" w:hAnsi="Times New Roman" w:eastAsia="仿宋_GB2312" w:cs="Times New Roman"/>
          <w:sz w:val="32"/>
        </w:rPr>
      </w:pPr>
      <w:r>
        <w:rPr>
          <w:rFonts w:ascii="Times New Roman" w:hAnsi="Times New Roman" w:eastAsia="仿宋_GB2312" w:cs="Times New Roman"/>
          <w:b/>
          <w:sz w:val="32"/>
        </w:rPr>
        <w:t>——</w:t>
      </w:r>
      <w:r>
        <w:rPr>
          <w:rFonts w:hint="eastAsia" w:ascii="Times New Roman" w:hAnsi="Times New Roman" w:eastAsia="仿宋_GB2312" w:cs="Times New Roman"/>
          <w:b/>
          <w:sz w:val="32"/>
          <w:lang w:eastAsia="zh-CN"/>
        </w:rPr>
        <w:t>坚持</w:t>
      </w:r>
      <w:r>
        <w:rPr>
          <w:rFonts w:ascii="Times New Roman" w:hAnsi="Times New Roman" w:eastAsia="仿宋_GB2312" w:cs="Times New Roman"/>
          <w:b/>
          <w:sz w:val="32"/>
        </w:rPr>
        <w:t>创新引领。</w:t>
      </w:r>
      <w:r>
        <w:rPr>
          <w:rFonts w:ascii="Times New Roman" w:hAnsi="Times New Roman" w:eastAsia="仿宋_GB2312" w:cs="Times New Roman"/>
          <w:sz w:val="32"/>
        </w:rPr>
        <w:t>坚持创新核心</w:t>
      </w:r>
      <w:r>
        <w:rPr>
          <w:rFonts w:hint="eastAsia" w:ascii="Times New Roman" w:hAnsi="Times New Roman" w:eastAsia="仿宋_GB2312" w:cs="Times New Roman"/>
          <w:sz w:val="32"/>
          <w:lang w:val="en-US" w:eastAsia="zh-CN"/>
        </w:rPr>
        <w:t>地位</w:t>
      </w:r>
      <w:r>
        <w:rPr>
          <w:rFonts w:ascii="Times New Roman" w:hAnsi="Times New Roman" w:eastAsia="仿宋_GB2312" w:cs="Times New Roman"/>
          <w:sz w:val="32"/>
        </w:rPr>
        <w:t>，</w:t>
      </w:r>
      <w:r>
        <w:rPr>
          <w:rFonts w:hint="eastAsia" w:ascii="Times New Roman" w:hAnsi="Times New Roman" w:eastAsia="仿宋_GB2312" w:cs="Times New Roman"/>
          <w:sz w:val="32"/>
          <w:lang w:val="en-US" w:eastAsia="zh-CN"/>
        </w:rPr>
        <w:t>推动</w:t>
      </w:r>
      <w:r>
        <w:rPr>
          <w:rFonts w:hint="eastAsia" w:ascii="Times New Roman" w:hAnsi="Times New Roman" w:eastAsia="仿宋_GB2312" w:cs="Times New Roman"/>
          <w:sz w:val="32"/>
        </w:rPr>
        <w:t>产业链、</w:t>
      </w:r>
      <w:r>
        <w:rPr>
          <w:rFonts w:hint="eastAsia" w:ascii="Times New Roman" w:hAnsi="Times New Roman" w:eastAsia="仿宋_GB2312" w:cs="Times New Roman"/>
          <w:sz w:val="32"/>
          <w:lang w:val="en-US" w:eastAsia="zh-CN"/>
        </w:rPr>
        <w:t>供应链、</w:t>
      </w:r>
      <w:r>
        <w:rPr>
          <w:rFonts w:hint="eastAsia" w:ascii="Times New Roman" w:hAnsi="Times New Roman" w:eastAsia="仿宋_GB2312" w:cs="Times New Roman"/>
          <w:sz w:val="32"/>
        </w:rPr>
        <w:t>创新链、资金链、人才链、政策链</w:t>
      </w:r>
      <w:r>
        <w:rPr>
          <w:rFonts w:hint="eastAsia" w:ascii="Times New Roman" w:hAnsi="Times New Roman" w:eastAsia="仿宋_GB2312" w:cs="Times New Roman"/>
          <w:sz w:val="32"/>
          <w:lang w:eastAsia="zh-CN"/>
        </w:rPr>
        <w:t>“</w:t>
      </w:r>
      <w:r>
        <w:rPr>
          <w:rFonts w:hint="eastAsia" w:ascii="Times New Roman" w:hAnsi="Times New Roman" w:eastAsia="仿宋_GB2312" w:cs="Times New Roman"/>
          <w:sz w:val="32"/>
          <w:lang w:val="en-US" w:eastAsia="zh-CN"/>
        </w:rPr>
        <w:t>多链协同”</w:t>
      </w:r>
      <w:r>
        <w:rPr>
          <w:rFonts w:hint="eastAsia" w:ascii="Times New Roman" w:hAnsi="Times New Roman" w:eastAsia="仿宋_GB2312" w:cs="Times New Roman"/>
          <w:sz w:val="32"/>
        </w:rPr>
        <w:t>，改造提升传统产业，大力发展新兴产业。</w:t>
      </w:r>
      <w:r>
        <w:rPr>
          <w:rFonts w:ascii="Times New Roman" w:hAnsi="Times New Roman" w:eastAsia="仿宋_GB2312" w:cs="Times New Roman"/>
          <w:sz w:val="32"/>
        </w:rPr>
        <w:t>激发区域创新活力，增强企业创新能力，</w:t>
      </w:r>
      <w:r>
        <w:rPr>
          <w:rFonts w:hint="eastAsia" w:ascii="Times New Roman" w:hAnsi="Times New Roman" w:eastAsia="仿宋_GB2312" w:cs="Times New Roman"/>
          <w:sz w:val="32"/>
        </w:rPr>
        <w:t>加强产学研合作，促进科技成果转化，</w:t>
      </w:r>
      <w:r>
        <w:rPr>
          <w:rFonts w:ascii="Times New Roman" w:hAnsi="Times New Roman" w:eastAsia="仿宋_GB2312" w:cs="Times New Roman"/>
          <w:sz w:val="32"/>
        </w:rPr>
        <w:t>推动工业创新发展。</w:t>
      </w:r>
    </w:p>
    <w:p w14:paraId="0D223495">
      <w:pPr>
        <w:spacing w:line="600" w:lineRule="exact"/>
        <w:ind w:firstLine="643" w:firstLineChars="200"/>
        <w:rPr>
          <w:rFonts w:ascii="Times New Roman" w:hAnsi="Times New Roman" w:eastAsia="仿宋_GB2312" w:cs="Times New Roman"/>
          <w:sz w:val="32"/>
        </w:rPr>
      </w:pPr>
      <w:r>
        <w:rPr>
          <w:rFonts w:ascii="Times New Roman" w:hAnsi="Times New Roman" w:eastAsia="仿宋_GB2312" w:cs="Times New Roman"/>
          <w:b/>
          <w:sz w:val="32"/>
        </w:rPr>
        <w:t>——</w:t>
      </w:r>
      <w:r>
        <w:rPr>
          <w:rFonts w:hint="eastAsia" w:ascii="Times New Roman" w:hAnsi="Times New Roman" w:eastAsia="仿宋_GB2312" w:cs="Times New Roman"/>
          <w:b/>
          <w:sz w:val="32"/>
          <w:lang w:eastAsia="zh-CN"/>
        </w:rPr>
        <w:t>坚持</w:t>
      </w:r>
      <w:r>
        <w:rPr>
          <w:rFonts w:ascii="Times New Roman" w:hAnsi="Times New Roman" w:eastAsia="仿宋_GB2312" w:cs="Times New Roman"/>
          <w:b/>
          <w:sz w:val="32"/>
        </w:rPr>
        <w:t>集群</w:t>
      </w:r>
      <w:r>
        <w:rPr>
          <w:rFonts w:hint="eastAsia" w:ascii="Times New Roman" w:hAnsi="Times New Roman" w:eastAsia="仿宋_GB2312" w:cs="Times New Roman"/>
          <w:b/>
          <w:sz w:val="32"/>
        </w:rPr>
        <w:t>集聚</w:t>
      </w:r>
      <w:r>
        <w:rPr>
          <w:rFonts w:ascii="Times New Roman" w:hAnsi="Times New Roman" w:eastAsia="仿宋_GB2312" w:cs="Times New Roman"/>
          <w:b/>
          <w:sz w:val="32"/>
        </w:rPr>
        <w:t>。</w:t>
      </w:r>
      <w:r>
        <w:rPr>
          <w:rFonts w:ascii="Times New Roman" w:hAnsi="Times New Roman" w:eastAsia="仿宋_GB2312" w:cs="Times New Roman"/>
          <w:sz w:val="32"/>
        </w:rPr>
        <w:t>培育</w:t>
      </w:r>
      <w:r>
        <w:rPr>
          <w:rFonts w:hint="eastAsia" w:ascii="Times New Roman" w:hAnsi="Times New Roman" w:eastAsia="仿宋_GB2312" w:cs="Times New Roman"/>
          <w:sz w:val="32"/>
        </w:rPr>
        <w:t>一批</w:t>
      </w:r>
      <w:r>
        <w:rPr>
          <w:rFonts w:ascii="Times New Roman" w:hAnsi="Times New Roman" w:eastAsia="仿宋_GB2312" w:cs="Times New Roman"/>
          <w:sz w:val="32"/>
        </w:rPr>
        <w:t>有竞争力的产业集群，加快资源要素优化整合，发挥龙头企业对产业链、价值链延伸</w:t>
      </w:r>
      <w:r>
        <w:rPr>
          <w:rFonts w:hint="eastAsia" w:ascii="Times New Roman" w:hAnsi="Times New Roman" w:eastAsia="仿宋_GB2312" w:cs="Times New Roman"/>
          <w:sz w:val="32"/>
        </w:rPr>
        <w:t>、</w:t>
      </w:r>
      <w:r>
        <w:rPr>
          <w:rFonts w:ascii="Times New Roman" w:hAnsi="Times New Roman" w:eastAsia="仿宋_GB2312" w:cs="Times New Roman"/>
          <w:sz w:val="32"/>
        </w:rPr>
        <w:t>提升和带动作用，加快主导产业上下游</w:t>
      </w:r>
      <w:r>
        <w:rPr>
          <w:rFonts w:hint="eastAsia" w:ascii="Times New Roman" w:hAnsi="Times New Roman" w:eastAsia="仿宋_GB2312" w:cs="Times New Roman"/>
          <w:sz w:val="32"/>
        </w:rPr>
        <w:t>企业</w:t>
      </w:r>
      <w:r>
        <w:rPr>
          <w:rFonts w:ascii="Times New Roman" w:hAnsi="Times New Roman" w:eastAsia="仿宋_GB2312" w:cs="Times New Roman"/>
          <w:sz w:val="32"/>
        </w:rPr>
        <w:t>集聚发展，</w:t>
      </w:r>
      <w:r>
        <w:rPr>
          <w:rFonts w:hint="eastAsia" w:ascii="Times New Roman" w:hAnsi="Times New Roman" w:eastAsia="仿宋_GB2312" w:cs="Times New Roman"/>
          <w:sz w:val="32"/>
        </w:rPr>
        <w:t>扩大集聚效应</w:t>
      </w:r>
      <w:r>
        <w:rPr>
          <w:rFonts w:ascii="Times New Roman" w:hAnsi="Times New Roman" w:eastAsia="仿宋_GB2312" w:cs="Times New Roman"/>
          <w:sz w:val="32"/>
        </w:rPr>
        <w:t>，增强区域产业发展活力。</w:t>
      </w:r>
    </w:p>
    <w:p w14:paraId="25224C05">
      <w:pPr>
        <w:spacing w:line="600" w:lineRule="exact"/>
        <w:ind w:firstLine="643" w:firstLineChars="200"/>
        <w:rPr>
          <w:rFonts w:ascii="Times New Roman" w:hAnsi="Times New Roman" w:eastAsia="仿宋_GB2312" w:cs="Times New Roman"/>
          <w:sz w:val="32"/>
        </w:rPr>
      </w:pPr>
      <w:r>
        <w:rPr>
          <w:rFonts w:ascii="Times New Roman" w:hAnsi="Times New Roman" w:eastAsia="仿宋_GB2312" w:cs="Times New Roman"/>
          <w:b/>
          <w:sz w:val="32"/>
        </w:rPr>
        <w:t>——</w:t>
      </w:r>
      <w:r>
        <w:rPr>
          <w:rFonts w:hint="eastAsia" w:ascii="Times New Roman" w:hAnsi="Times New Roman" w:eastAsia="仿宋_GB2312" w:cs="Times New Roman"/>
          <w:b/>
          <w:sz w:val="32"/>
          <w:lang w:eastAsia="zh-CN"/>
        </w:rPr>
        <w:t>坚持</w:t>
      </w:r>
      <w:r>
        <w:rPr>
          <w:rFonts w:hint="eastAsia" w:ascii="Times New Roman" w:hAnsi="Times New Roman" w:eastAsia="仿宋_GB2312" w:cs="Times New Roman"/>
          <w:b/>
          <w:sz w:val="32"/>
        </w:rPr>
        <w:t>融合</w:t>
      </w:r>
      <w:r>
        <w:rPr>
          <w:rFonts w:ascii="Times New Roman" w:hAnsi="Times New Roman" w:eastAsia="仿宋_GB2312" w:cs="Times New Roman"/>
          <w:b/>
          <w:sz w:val="32"/>
        </w:rPr>
        <w:t>发展。</w:t>
      </w:r>
      <w:r>
        <w:rPr>
          <w:rFonts w:hint="eastAsia" w:ascii="Times New Roman" w:hAnsi="Times New Roman" w:eastAsia="仿宋_GB2312" w:cs="Times New Roman"/>
          <w:sz w:val="32"/>
        </w:rPr>
        <w:t>抢抓</w:t>
      </w:r>
      <w:r>
        <w:rPr>
          <w:rFonts w:hint="eastAsia" w:ascii="Times New Roman" w:hAnsi="Times New Roman" w:eastAsia="仿宋_GB2312" w:cs="Times New Roman"/>
          <w:sz w:val="32"/>
          <w:lang w:val="en-US" w:eastAsia="zh-CN"/>
        </w:rPr>
        <w:t>数字经济发展</w:t>
      </w:r>
      <w:r>
        <w:rPr>
          <w:rFonts w:hint="eastAsia" w:ascii="Times New Roman" w:hAnsi="Times New Roman" w:eastAsia="仿宋_GB2312" w:cs="Times New Roman"/>
          <w:sz w:val="32"/>
        </w:rPr>
        <w:t>契机，</w:t>
      </w:r>
      <w:r>
        <w:rPr>
          <w:rFonts w:hint="eastAsia" w:ascii="Times New Roman" w:hAnsi="Times New Roman" w:eastAsia="仿宋_GB2312" w:cs="Times New Roman"/>
          <w:color w:val="auto"/>
          <w:sz w:val="32"/>
          <w:shd w:val="clear" w:color="auto" w:fill="auto"/>
        </w:rPr>
        <w:t>加快工业互联网平台建设</w:t>
      </w:r>
      <w:r>
        <w:rPr>
          <w:rFonts w:hint="eastAsia" w:ascii="Times New Roman" w:hAnsi="Times New Roman" w:eastAsia="仿宋_GB2312" w:cs="Times New Roman"/>
          <w:color w:val="auto"/>
          <w:sz w:val="32"/>
          <w:shd w:val="clear" w:color="auto" w:fill="auto"/>
          <w:lang w:eastAsia="zh-CN"/>
        </w:rPr>
        <w:t>，</w:t>
      </w:r>
      <w:r>
        <w:rPr>
          <w:rFonts w:hint="eastAsia" w:ascii="Times New Roman" w:hAnsi="Times New Roman" w:eastAsia="仿宋_GB2312" w:cs="Times New Roman"/>
          <w:sz w:val="32"/>
        </w:rPr>
        <w:t>推动</w:t>
      </w:r>
      <w:r>
        <w:rPr>
          <w:rFonts w:hint="eastAsia" w:ascii="Times New Roman" w:hAnsi="Times New Roman" w:eastAsia="仿宋_GB2312" w:cs="Times New Roman"/>
          <w:color w:val="auto"/>
          <w:sz w:val="32"/>
          <w:shd w:val="clear" w:color="auto" w:fill="auto"/>
          <w:lang w:val="en-US" w:eastAsia="zh-CN"/>
        </w:rPr>
        <w:t>数字</w:t>
      </w:r>
      <w:r>
        <w:rPr>
          <w:rFonts w:hint="eastAsia" w:ascii="Times New Roman" w:hAnsi="Times New Roman" w:eastAsia="仿宋_GB2312" w:cs="Times New Roman"/>
          <w:color w:val="auto"/>
          <w:sz w:val="32"/>
          <w:shd w:val="clear" w:color="auto" w:fill="auto"/>
          <w:lang w:eastAsia="zh-CN"/>
        </w:rPr>
        <w:t>化和工业化深度融合</w:t>
      </w:r>
      <w:r>
        <w:rPr>
          <w:rFonts w:hint="eastAsia" w:ascii="Times New Roman" w:hAnsi="Times New Roman" w:eastAsia="仿宋_GB2312" w:cs="Times New Roman"/>
          <w:sz w:val="32"/>
        </w:rPr>
        <w:t>，</w:t>
      </w:r>
      <w:r>
        <w:rPr>
          <w:rFonts w:hint="eastAsia" w:ascii="Times New Roman" w:hAnsi="Times New Roman" w:eastAsia="仿宋_GB2312" w:cs="Times New Roman"/>
          <w:sz w:val="32"/>
          <w:lang w:eastAsia="zh-CN"/>
        </w:rPr>
        <w:t>推动</w:t>
      </w:r>
      <w:r>
        <w:rPr>
          <w:rFonts w:hint="eastAsia" w:ascii="Times New Roman" w:hAnsi="Times New Roman" w:eastAsia="仿宋_GB2312" w:cs="Times New Roman"/>
          <w:sz w:val="32"/>
        </w:rPr>
        <w:t>先进制造业与现代服务业</w:t>
      </w:r>
      <w:r>
        <w:rPr>
          <w:rFonts w:hint="eastAsia" w:ascii="Times New Roman" w:hAnsi="Times New Roman" w:eastAsia="仿宋_GB2312" w:cs="Times New Roman"/>
          <w:color w:val="auto"/>
          <w:sz w:val="32"/>
          <w:shd w:val="clear" w:color="auto" w:fill="auto"/>
          <w:lang w:eastAsia="zh-CN"/>
        </w:rPr>
        <w:t>深度融合</w:t>
      </w:r>
      <w:r>
        <w:rPr>
          <w:rFonts w:hint="eastAsia" w:ascii="Times New Roman" w:hAnsi="Times New Roman" w:eastAsia="仿宋_GB2312" w:cs="Times New Roman"/>
          <w:sz w:val="32"/>
          <w:lang w:eastAsia="zh-CN"/>
        </w:rPr>
        <w:t>，</w:t>
      </w:r>
      <w:r>
        <w:rPr>
          <w:rFonts w:hint="eastAsia" w:ascii="Times New Roman" w:hAnsi="Times New Roman" w:eastAsia="仿宋_GB2312" w:cs="Times New Roman"/>
          <w:sz w:val="32"/>
        </w:rPr>
        <w:t>积极参与长三角</w:t>
      </w:r>
      <w:r>
        <w:rPr>
          <w:rFonts w:hint="eastAsia" w:ascii="Times New Roman" w:hAnsi="Times New Roman" w:eastAsia="仿宋_GB2312" w:cs="Times New Roman"/>
          <w:sz w:val="32"/>
          <w:lang w:eastAsia="zh-CN"/>
        </w:rPr>
        <w:t>地区</w:t>
      </w:r>
      <w:r>
        <w:rPr>
          <w:rFonts w:hint="eastAsia" w:ascii="Times New Roman" w:hAnsi="Times New Roman" w:eastAsia="仿宋_GB2312" w:cs="Times New Roman"/>
          <w:sz w:val="32"/>
        </w:rPr>
        <w:t>分工协作，推进和长三角先发地区融合发展。</w:t>
      </w:r>
    </w:p>
    <w:p w14:paraId="692F2A37">
      <w:pPr>
        <w:spacing w:line="600" w:lineRule="exact"/>
        <w:ind w:firstLine="643" w:firstLineChars="200"/>
        <w:rPr>
          <w:rFonts w:ascii="Times New Roman" w:hAnsi="Times New Roman" w:eastAsia="仿宋_GB2312" w:cs="Times New Roman"/>
          <w:bCs/>
          <w:sz w:val="32"/>
        </w:rPr>
      </w:pPr>
      <w:r>
        <w:rPr>
          <w:rFonts w:ascii="Times New Roman" w:hAnsi="Times New Roman" w:eastAsia="仿宋_GB2312" w:cs="Times New Roman"/>
          <w:b/>
          <w:sz w:val="32"/>
        </w:rPr>
        <w:t>——</w:t>
      </w:r>
      <w:r>
        <w:rPr>
          <w:rFonts w:hint="eastAsia" w:ascii="Times New Roman" w:hAnsi="Times New Roman" w:eastAsia="仿宋_GB2312" w:cs="Times New Roman"/>
          <w:b/>
          <w:sz w:val="32"/>
          <w:lang w:eastAsia="zh-CN"/>
        </w:rPr>
        <w:t>坚持</w:t>
      </w:r>
      <w:r>
        <w:rPr>
          <w:rFonts w:ascii="Times New Roman" w:hAnsi="Times New Roman" w:eastAsia="仿宋_GB2312" w:cs="Times New Roman"/>
          <w:b/>
          <w:sz w:val="32"/>
        </w:rPr>
        <w:t>品牌提升。</w:t>
      </w:r>
      <w:r>
        <w:rPr>
          <w:rFonts w:ascii="Times New Roman" w:hAnsi="Times New Roman" w:eastAsia="仿宋_GB2312" w:cs="Times New Roman"/>
          <w:bCs/>
          <w:sz w:val="32"/>
        </w:rPr>
        <w:t>实施增品种、提品质、创品牌的品牌战略，培育区域品牌，加强知识产权保护，做精产品、做大企业、做强区域。鼓励同类企业进行资本、技术、人才优化组合；重点加强特色产业园区和专业化产业基地建设，打响</w:t>
      </w:r>
      <w:r>
        <w:rPr>
          <w:rFonts w:hint="eastAsia" w:ascii="Times New Roman" w:hAnsi="Times New Roman" w:eastAsia="仿宋_GB2312" w:cs="Times New Roman"/>
          <w:bCs/>
          <w:sz w:val="32"/>
        </w:rPr>
        <w:t>“阜阳</w:t>
      </w:r>
      <w:r>
        <w:rPr>
          <w:rFonts w:ascii="Times New Roman" w:hAnsi="Times New Roman" w:eastAsia="仿宋_GB2312" w:cs="Times New Roman"/>
          <w:bCs/>
          <w:sz w:val="32"/>
        </w:rPr>
        <w:t>制造</w:t>
      </w:r>
      <w:r>
        <w:rPr>
          <w:rFonts w:hint="eastAsia" w:ascii="Times New Roman" w:hAnsi="Times New Roman" w:eastAsia="仿宋_GB2312" w:cs="Times New Roman"/>
          <w:bCs/>
          <w:sz w:val="32"/>
        </w:rPr>
        <w:t>”</w:t>
      </w:r>
      <w:r>
        <w:rPr>
          <w:rFonts w:ascii="Times New Roman" w:hAnsi="Times New Roman" w:eastAsia="仿宋_GB2312" w:cs="Times New Roman"/>
          <w:bCs/>
          <w:sz w:val="32"/>
        </w:rPr>
        <w:t>品牌。</w:t>
      </w:r>
    </w:p>
    <w:p w14:paraId="3591463A">
      <w:pPr>
        <w:spacing w:line="600" w:lineRule="exact"/>
        <w:ind w:firstLine="643" w:firstLineChars="200"/>
        <w:rPr>
          <w:rFonts w:ascii="Times New Roman" w:hAnsi="Times New Roman" w:eastAsia="仿宋_GB2312" w:cs="Times New Roman"/>
          <w:b/>
          <w:sz w:val="32"/>
        </w:rPr>
      </w:pPr>
      <w:r>
        <w:rPr>
          <w:rFonts w:ascii="Times New Roman" w:hAnsi="Times New Roman" w:eastAsia="仿宋_GB2312" w:cs="Times New Roman"/>
          <w:b/>
          <w:sz w:val="32"/>
        </w:rPr>
        <w:t>——</w:t>
      </w:r>
      <w:r>
        <w:rPr>
          <w:rFonts w:hint="eastAsia" w:ascii="Times New Roman" w:hAnsi="Times New Roman" w:eastAsia="仿宋_GB2312" w:cs="Times New Roman"/>
          <w:b/>
          <w:sz w:val="32"/>
          <w:lang w:eastAsia="zh-CN"/>
        </w:rPr>
        <w:t>坚持</w:t>
      </w:r>
      <w:r>
        <w:rPr>
          <w:rFonts w:ascii="Times New Roman" w:hAnsi="Times New Roman" w:eastAsia="仿宋_GB2312" w:cs="Times New Roman"/>
          <w:b/>
          <w:sz w:val="32"/>
        </w:rPr>
        <w:t>绿色</w:t>
      </w:r>
      <w:r>
        <w:rPr>
          <w:rFonts w:hint="eastAsia" w:ascii="Times New Roman" w:hAnsi="Times New Roman" w:eastAsia="仿宋_GB2312" w:cs="Times New Roman"/>
          <w:b/>
          <w:sz w:val="32"/>
          <w:lang w:eastAsia="zh-CN"/>
        </w:rPr>
        <w:t>低碳</w:t>
      </w:r>
      <w:r>
        <w:rPr>
          <w:rFonts w:ascii="Times New Roman" w:hAnsi="Times New Roman" w:eastAsia="仿宋_GB2312" w:cs="Times New Roman"/>
          <w:b/>
          <w:sz w:val="32"/>
        </w:rPr>
        <w:t>。</w:t>
      </w:r>
      <w:r>
        <w:rPr>
          <w:rFonts w:hint="eastAsia" w:ascii="Times New Roman" w:hAnsi="Times New Roman" w:eastAsia="仿宋_GB2312" w:cs="Times New Roman"/>
          <w:sz w:val="32"/>
        </w:rPr>
        <w:t>积极贯彻碳达峰碳中和对产业发展的新要求，顺应低碳发展新趋势</w:t>
      </w:r>
      <w:r>
        <w:rPr>
          <w:rFonts w:hint="eastAsia" w:ascii="Times New Roman" w:hAnsi="Times New Roman" w:eastAsia="仿宋_GB2312" w:cs="Times New Roman"/>
          <w:sz w:val="32"/>
          <w:lang w:eastAsia="zh-CN"/>
        </w:rPr>
        <w:t>，</w:t>
      </w:r>
      <w:r>
        <w:rPr>
          <w:rFonts w:ascii="Times New Roman" w:hAnsi="Times New Roman" w:eastAsia="仿宋_GB2312" w:cs="Times New Roman"/>
          <w:sz w:val="32"/>
        </w:rPr>
        <w:t>立足区域资源环境承载力，转变</w:t>
      </w:r>
      <w:r>
        <w:rPr>
          <w:rFonts w:hint="eastAsia" w:ascii="Times New Roman" w:hAnsi="Times New Roman" w:eastAsia="仿宋_GB2312" w:cs="Times New Roman"/>
          <w:sz w:val="32"/>
          <w:lang w:val="en-US" w:eastAsia="zh-CN"/>
        </w:rPr>
        <w:t>工业</w:t>
      </w:r>
      <w:r>
        <w:rPr>
          <w:rFonts w:ascii="Times New Roman" w:hAnsi="Times New Roman" w:eastAsia="仿宋_GB2312" w:cs="Times New Roman"/>
          <w:sz w:val="32"/>
        </w:rPr>
        <w:t>发展方式，推动企业实施绿色清洁生产，推广节能降耗，加快</w:t>
      </w:r>
      <w:r>
        <w:rPr>
          <w:rFonts w:hint="eastAsia" w:ascii="Times New Roman" w:hAnsi="Times New Roman" w:eastAsia="仿宋_GB2312" w:cs="Times New Roman"/>
          <w:sz w:val="32"/>
          <w:lang w:val="en-US" w:eastAsia="zh-CN"/>
        </w:rPr>
        <w:t>绿色低碳</w:t>
      </w:r>
      <w:r>
        <w:rPr>
          <w:rFonts w:ascii="Times New Roman" w:hAnsi="Times New Roman" w:eastAsia="仿宋_GB2312" w:cs="Times New Roman"/>
          <w:sz w:val="32"/>
        </w:rPr>
        <w:t>发展。</w:t>
      </w:r>
    </w:p>
    <w:p w14:paraId="06FE5C19">
      <w:pPr>
        <w:numPr>
          <w:ilvl w:val="0"/>
          <w:numId w:val="1"/>
        </w:numPr>
        <w:spacing w:line="600" w:lineRule="exact"/>
        <w:ind w:firstLine="643" w:firstLineChars="200"/>
        <w:outlineLvl w:val="1"/>
        <w:rPr>
          <w:rFonts w:ascii="楷体_GB2312" w:hAnsi="楷体_GB2312" w:eastAsia="楷体_GB2312" w:cs="楷体_GB2312"/>
          <w:b/>
          <w:bCs/>
          <w:sz w:val="32"/>
          <w:szCs w:val="32"/>
        </w:rPr>
      </w:pPr>
      <w:bookmarkStart w:id="159" w:name="_Toc3786"/>
      <w:bookmarkStart w:id="160" w:name="_Toc17205"/>
      <w:bookmarkStart w:id="161" w:name="_Toc2767"/>
      <w:bookmarkStart w:id="162" w:name="_Toc1212"/>
      <w:bookmarkStart w:id="163" w:name="_Toc19203"/>
      <w:bookmarkStart w:id="164" w:name="_Toc32688"/>
      <w:bookmarkStart w:id="165" w:name="_Toc7378"/>
      <w:bookmarkStart w:id="166" w:name="_Toc15854"/>
      <w:bookmarkStart w:id="167" w:name="_Toc2405"/>
      <w:bookmarkStart w:id="168" w:name="_Toc24260"/>
      <w:r>
        <w:rPr>
          <w:rFonts w:hint="eastAsia" w:ascii="楷体_GB2312" w:hAnsi="楷体_GB2312" w:eastAsia="楷体_GB2312" w:cs="楷体_GB2312"/>
          <w:b/>
          <w:bCs/>
          <w:sz w:val="32"/>
          <w:szCs w:val="32"/>
        </w:rPr>
        <w:t>发展目标</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5C780D54">
      <w:pPr>
        <w:pStyle w:val="23"/>
        <w:spacing w:after="0" w:line="600" w:lineRule="exact"/>
        <w:ind w:left="0" w:leftChars="0" w:firstLine="640"/>
        <w:rPr>
          <w:rStyle w:val="34"/>
          <w:rFonts w:hint="default" w:hAnsi="Times New Roman" w:cs="Times New Roman"/>
          <w:szCs w:val="40"/>
        </w:rPr>
      </w:pPr>
      <w:r>
        <w:rPr>
          <w:rStyle w:val="34"/>
          <w:rFonts w:hint="eastAsia" w:hAnsi="仿宋_GB2312" w:cs="仿宋_GB2312"/>
        </w:rPr>
        <w:t>到2025年，</w:t>
      </w:r>
      <w:r>
        <w:rPr>
          <w:rStyle w:val="34"/>
          <w:rFonts w:hint="eastAsia" w:hAnsi="仿宋_GB2312" w:eastAsia="仿宋_GB2312" w:cs="仿宋_GB2312"/>
          <w:lang w:val="en-US" w:eastAsia="zh-CN"/>
        </w:rPr>
        <w:t>全市制造业营业收入和产值实现倍增，工业结构更加优化，</w:t>
      </w:r>
      <w:r>
        <w:rPr>
          <w:rStyle w:val="34"/>
          <w:rFonts w:hint="default" w:hAnsi="仿宋_GB2312" w:cs="仿宋_GB2312"/>
          <w:lang w:val="en-US"/>
        </w:rPr>
        <w:t>打造</w:t>
      </w:r>
      <w:r>
        <w:rPr>
          <w:rStyle w:val="34"/>
          <w:rFonts w:hint="eastAsia" w:hAnsi="仿宋_GB2312" w:cs="仿宋_GB2312"/>
        </w:rPr>
        <w:t>新能源、节能环保、新材料、绿色食品4个千亿产业，绿色建筑建材、生命健康、装备制造和新能源汽车、纺织服装4个五百亿产业，制造业规模迈入全省先进行列</w:t>
      </w:r>
      <w:r>
        <w:rPr>
          <w:rStyle w:val="34"/>
          <w:rFonts w:hint="eastAsia" w:hAnsi="仿宋_GB2312" w:eastAsia="仿宋_GB2312" w:cs="仿宋_GB2312"/>
          <w:lang w:eastAsia="zh-CN"/>
        </w:rPr>
        <w:t>，</w:t>
      </w:r>
      <w:r>
        <w:rPr>
          <w:rStyle w:val="34"/>
          <w:rFonts w:hint="default" w:hAnsi="Times New Roman" w:cs="Times New Roman"/>
        </w:rPr>
        <w:t>建成</w:t>
      </w:r>
      <w:r>
        <w:rPr>
          <w:rStyle w:val="34"/>
          <w:rFonts w:hint="default" w:hAnsi="Times New Roman" w:cs="Times New Roman"/>
          <w:b/>
          <w:bCs/>
        </w:rPr>
        <w:t>长三角</w:t>
      </w:r>
      <w:r>
        <w:rPr>
          <w:rStyle w:val="34"/>
          <w:rFonts w:hint="eastAsia" w:hAnsi="Times New Roman" w:eastAsia="仿宋_GB2312" w:cs="Times New Roman"/>
          <w:b/>
          <w:bCs/>
          <w:lang w:val="en-US" w:eastAsia="zh-CN"/>
        </w:rPr>
        <w:t>中心区</w:t>
      </w:r>
      <w:r>
        <w:rPr>
          <w:rStyle w:val="34"/>
          <w:rFonts w:hint="default" w:hAnsi="Times New Roman" w:cs="Times New Roman"/>
          <w:b/>
          <w:bCs/>
        </w:rPr>
        <w:t>产业转移优选地、中原地区新兴制造业</w:t>
      </w:r>
      <w:r>
        <w:rPr>
          <w:rStyle w:val="34"/>
          <w:rFonts w:hint="eastAsia" w:hAnsi="Times New Roman" w:eastAsia="仿宋_GB2312" w:cs="Times New Roman"/>
          <w:b/>
          <w:bCs/>
          <w:lang w:val="en-US" w:eastAsia="zh-CN"/>
        </w:rPr>
        <w:t>基地和新能源</w:t>
      </w:r>
      <w:r>
        <w:rPr>
          <w:rStyle w:val="34"/>
          <w:rFonts w:hint="default" w:hAnsi="Times New Roman" w:cs="Times New Roman"/>
          <w:b/>
          <w:bCs/>
        </w:rPr>
        <w:t>基地</w:t>
      </w:r>
      <w:r>
        <w:rPr>
          <w:rStyle w:val="34"/>
          <w:rFonts w:hint="eastAsia" w:hAnsi="Times New Roman" w:eastAsia="仿宋_GB2312" w:cs="Times New Roman"/>
          <w:b/>
          <w:bCs/>
          <w:lang w:eastAsia="zh-CN"/>
        </w:rPr>
        <w:t>、</w:t>
      </w:r>
      <w:r>
        <w:rPr>
          <w:rStyle w:val="34"/>
          <w:rFonts w:hint="default" w:hAnsi="Times New Roman" w:cs="Times New Roman"/>
          <w:b/>
          <w:bCs/>
        </w:rPr>
        <w:t>安徽工业经济新增长极和皖北制造业高质量发展引领区</w:t>
      </w:r>
      <w:r>
        <w:rPr>
          <w:rStyle w:val="34"/>
          <w:rFonts w:hint="default" w:hAnsi="Times New Roman" w:cs="Times New Roman"/>
        </w:rPr>
        <w:t>。到2035年，工业综合实力迈上新台阶，创新实力实现新突破，绿色发展取得新进展，建成</w:t>
      </w:r>
      <w:r>
        <w:rPr>
          <w:rStyle w:val="34"/>
          <w:rFonts w:hint="default" w:hAnsi="Times New Roman" w:cs="Times New Roman"/>
          <w:b/>
          <w:bCs/>
        </w:rPr>
        <w:t>着眼全国、面向长三角、背靠中西部的特色产业集聚区。</w:t>
      </w:r>
    </w:p>
    <w:p w14:paraId="7E0B003A">
      <w:pPr>
        <w:spacing w:line="600" w:lineRule="exact"/>
        <w:ind w:firstLine="643" w:firstLineChars="200"/>
        <w:rPr>
          <w:rFonts w:ascii="仿宋_GB2312" w:hAnsi="仿宋_GB2312" w:eastAsia="仿宋_GB2312" w:cs="仿宋_GB2312"/>
          <w:sz w:val="32"/>
          <w:szCs w:val="32"/>
        </w:rPr>
      </w:pPr>
      <w:r>
        <w:rPr>
          <w:rFonts w:ascii="Times New Roman" w:hAnsi="Times New Roman" w:eastAsia="仿宋_GB2312" w:cs="Times New Roman"/>
          <w:b/>
          <w:sz w:val="32"/>
        </w:rPr>
        <w:t>——</w:t>
      </w:r>
      <w:r>
        <w:rPr>
          <w:rFonts w:hint="eastAsia" w:ascii="Times New Roman" w:hAnsi="Times New Roman" w:eastAsia="仿宋_GB2312" w:cs="Times New Roman"/>
          <w:b/>
          <w:sz w:val="32"/>
          <w:lang w:eastAsia="zh-CN"/>
        </w:rPr>
        <w:t>工业实力</w:t>
      </w:r>
      <w:r>
        <w:rPr>
          <w:rFonts w:hint="eastAsia" w:ascii="Times New Roman" w:hAnsi="Times New Roman" w:eastAsia="仿宋_GB2312" w:cs="Times New Roman"/>
          <w:b/>
          <w:sz w:val="32"/>
        </w:rPr>
        <w:t>持续壮大</w:t>
      </w:r>
      <w:r>
        <w:rPr>
          <w:rFonts w:ascii="Times New Roman" w:hAnsi="Times New Roman" w:eastAsia="仿宋_GB2312" w:cs="Times New Roman"/>
          <w:b/>
          <w:sz w:val="32"/>
        </w:rPr>
        <w:t>。</w:t>
      </w:r>
      <w:r>
        <w:rPr>
          <w:rFonts w:ascii="仿宋_GB2312" w:hAnsi="仿宋_GB2312" w:eastAsia="仿宋_GB2312" w:cs="仿宋_GB2312"/>
          <w:sz w:val="32"/>
          <w:szCs w:val="32"/>
        </w:rPr>
        <w:t>工业总量保持</w:t>
      </w:r>
      <w:r>
        <w:rPr>
          <w:rFonts w:hint="eastAsia" w:ascii="仿宋_GB2312" w:hAnsi="仿宋_GB2312" w:eastAsia="仿宋_GB2312" w:cs="仿宋_GB2312"/>
          <w:sz w:val="32"/>
          <w:szCs w:val="32"/>
          <w:lang w:val="en-US" w:eastAsia="zh-CN"/>
        </w:rPr>
        <w:t>较快</w:t>
      </w:r>
      <w:r>
        <w:rPr>
          <w:rFonts w:ascii="仿宋_GB2312" w:hAnsi="仿宋_GB2312" w:eastAsia="仿宋_GB2312" w:cs="仿宋_GB2312"/>
          <w:sz w:val="32"/>
          <w:szCs w:val="32"/>
        </w:rPr>
        <w:t>增长，</w:t>
      </w:r>
      <w:r>
        <w:rPr>
          <w:rFonts w:hint="eastAsia" w:ascii="仿宋_GB2312" w:hAnsi="仿宋_GB2312" w:eastAsia="仿宋_GB2312" w:cs="仿宋_GB2312"/>
          <w:sz w:val="32"/>
          <w:szCs w:val="32"/>
          <w:lang w:val="en-US" w:eastAsia="zh-CN"/>
        </w:rPr>
        <w:t>实现倍增目标，</w:t>
      </w:r>
      <w:r>
        <w:rPr>
          <w:rFonts w:ascii="仿宋_GB2312" w:hAnsi="仿宋_GB2312" w:eastAsia="仿宋_GB2312" w:cs="仿宋_GB2312"/>
          <w:sz w:val="32"/>
          <w:szCs w:val="32"/>
        </w:rPr>
        <w:t>发展地位进一步提升</w:t>
      </w:r>
      <w:r>
        <w:rPr>
          <w:rFonts w:hint="default" w:ascii="仿宋_GB2312" w:hAnsi="仿宋_GB2312" w:eastAsia="仿宋_GB2312" w:cs="仿宋_GB2312"/>
          <w:sz w:val="32"/>
          <w:szCs w:val="32"/>
          <w:lang w:eastAsia="zh-CN"/>
        </w:rPr>
        <w:t>，</w:t>
      </w:r>
      <w:r>
        <w:rPr>
          <w:rFonts w:hint="eastAsia" w:ascii="仿宋_GB2312" w:hAnsi="仿宋_GB2312" w:eastAsia="仿宋_GB2312" w:cs="仿宋_GB2312"/>
          <w:sz w:val="32"/>
          <w:szCs w:val="32"/>
          <w:lang w:eastAsia="zh-CN"/>
        </w:rPr>
        <w:t>规上工业增加值增速位列全省第一方阵，</w:t>
      </w:r>
      <w:r>
        <w:rPr>
          <w:rFonts w:hint="eastAsia" w:ascii="仿宋_GB2312" w:hAnsi="仿宋_GB2312" w:eastAsia="仿宋_GB2312" w:cs="仿宋_GB2312"/>
          <w:sz w:val="32"/>
          <w:szCs w:val="32"/>
          <w:lang w:val="en-US" w:eastAsia="zh-CN"/>
        </w:rPr>
        <w:t>制造</w:t>
      </w:r>
      <w:r>
        <w:rPr>
          <w:rFonts w:ascii="仿宋_GB2312" w:hAnsi="仿宋_GB2312" w:eastAsia="仿宋_GB2312" w:cs="仿宋_GB2312"/>
          <w:sz w:val="32"/>
          <w:szCs w:val="32"/>
        </w:rPr>
        <w:t>强市建设取得突破性进展。</w:t>
      </w:r>
    </w:p>
    <w:p w14:paraId="136C5643">
      <w:pPr>
        <w:spacing w:line="600" w:lineRule="exact"/>
        <w:ind w:firstLine="643" w:firstLineChars="200"/>
        <w:rPr>
          <w:rFonts w:ascii="仿宋_GB2312" w:hAnsi="仿宋_GB2312" w:eastAsia="仿宋_GB2312" w:cs="仿宋_GB2312"/>
          <w:sz w:val="32"/>
          <w:szCs w:val="32"/>
        </w:rPr>
      </w:pPr>
      <w:r>
        <w:rPr>
          <w:rFonts w:ascii="Times New Roman" w:hAnsi="Times New Roman" w:eastAsia="仿宋_GB2312" w:cs="Times New Roman"/>
          <w:b/>
          <w:sz w:val="32"/>
        </w:rPr>
        <w:t>——产业结构</w:t>
      </w:r>
      <w:r>
        <w:rPr>
          <w:rFonts w:hint="eastAsia" w:ascii="Times New Roman" w:hAnsi="Times New Roman" w:eastAsia="仿宋_GB2312" w:cs="Times New Roman"/>
          <w:b/>
          <w:sz w:val="32"/>
        </w:rPr>
        <w:t>不断优化</w:t>
      </w:r>
      <w:r>
        <w:rPr>
          <w:rFonts w:ascii="Times New Roman" w:hAnsi="Times New Roman" w:eastAsia="仿宋_GB2312" w:cs="Times New Roman"/>
          <w:b/>
          <w:sz w:val="32"/>
        </w:rPr>
        <w:t>。</w:t>
      </w:r>
      <w:r>
        <w:rPr>
          <w:rFonts w:hint="eastAsia" w:ascii="仿宋_GB2312" w:hAnsi="仿宋_GB2312" w:eastAsia="仿宋_GB2312" w:cs="仿宋_GB2312"/>
          <w:b w:val="0"/>
          <w:sz w:val="32"/>
          <w:szCs w:val="32"/>
        </w:rPr>
        <w:t>重点产业集群和产业链的稳定性和竞争力持续提升，</w:t>
      </w:r>
      <w:r>
        <w:rPr>
          <w:rFonts w:ascii="仿宋_GB2312" w:hAnsi="仿宋_GB2312" w:eastAsia="仿宋_GB2312" w:cs="仿宋_GB2312"/>
          <w:sz w:val="32"/>
          <w:szCs w:val="32"/>
        </w:rPr>
        <w:t>主导产业经济支撑能力持续增强，战略性新兴产业规模不断提升，产业结构</w:t>
      </w:r>
      <w:r>
        <w:rPr>
          <w:rFonts w:hint="eastAsia" w:ascii="仿宋_GB2312" w:hAnsi="仿宋_GB2312" w:eastAsia="仿宋_GB2312" w:cs="仿宋_GB2312"/>
          <w:sz w:val="32"/>
          <w:szCs w:val="32"/>
        </w:rPr>
        <w:t>有效调整</w:t>
      </w:r>
      <w:r>
        <w:rPr>
          <w:rFonts w:ascii="仿宋_GB2312" w:hAnsi="仿宋_GB2312" w:eastAsia="仿宋_GB2312" w:cs="仿宋_GB2312"/>
          <w:sz w:val="32"/>
          <w:szCs w:val="32"/>
        </w:rPr>
        <w:t>。</w:t>
      </w:r>
    </w:p>
    <w:p w14:paraId="4047E103">
      <w:pPr>
        <w:spacing w:line="600" w:lineRule="exact"/>
        <w:ind w:firstLine="643" w:firstLineChars="200"/>
        <w:rPr>
          <w:rFonts w:hint="eastAsia" w:ascii="仿宋_GB2312" w:hAnsi="仿宋_GB2312" w:eastAsia="仿宋_GB2312" w:cs="仿宋_GB2312"/>
          <w:sz w:val="32"/>
          <w:szCs w:val="32"/>
        </w:rPr>
      </w:pPr>
      <w:r>
        <w:rPr>
          <w:rFonts w:ascii="Times New Roman" w:hAnsi="Times New Roman" w:eastAsia="仿宋_GB2312" w:cs="Times New Roman"/>
          <w:b/>
          <w:sz w:val="32"/>
        </w:rPr>
        <w:t>——</w:t>
      </w:r>
      <w:r>
        <w:rPr>
          <w:rFonts w:hint="eastAsia" w:ascii="仿宋_GB2312" w:hAnsi="仿宋_GB2312" w:eastAsia="仿宋_GB2312" w:cs="仿宋_GB2312"/>
          <w:b/>
          <w:bCs/>
          <w:sz w:val="32"/>
          <w:szCs w:val="32"/>
        </w:rPr>
        <w:t>创新能力显著增强。</w:t>
      </w:r>
      <w:r>
        <w:rPr>
          <w:rFonts w:hint="eastAsia" w:ascii="仿宋_GB2312" w:hAnsi="仿宋_GB2312" w:eastAsia="仿宋_GB2312" w:cs="仿宋_GB2312"/>
          <w:sz w:val="32"/>
          <w:szCs w:val="32"/>
        </w:rPr>
        <w:t>企业创新主体地位进一步强化，全市研发投入强度进一步提升，创新平台建设取得新的成绩，产学研协同创新网络更加完善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创新成为全市工业发展的核心驱动力。</w:t>
      </w:r>
    </w:p>
    <w:p w14:paraId="40EA1A2E">
      <w:pPr>
        <w:spacing w:line="600" w:lineRule="exact"/>
        <w:ind w:firstLine="643" w:firstLineChars="200"/>
        <w:rPr>
          <w:rFonts w:hint="eastAsia" w:ascii="仿宋_GB2312" w:hAnsi="仿宋_GB2312" w:eastAsia="仿宋_GB2312" w:cs="仿宋_GB2312"/>
          <w:sz w:val="32"/>
          <w:szCs w:val="32"/>
        </w:rPr>
      </w:pPr>
      <w:r>
        <w:rPr>
          <w:rFonts w:ascii="Times New Roman" w:hAnsi="Times New Roman" w:eastAsia="仿宋_GB2312" w:cs="Times New Roman"/>
          <w:b/>
          <w:sz w:val="32"/>
        </w:rPr>
        <w:t>——</w:t>
      </w:r>
      <w:r>
        <w:rPr>
          <w:rFonts w:hint="eastAsia" w:ascii="Times New Roman" w:hAnsi="Times New Roman" w:eastAsia="仿宋_GB2312" w:cs="Times New Roman"/>
          <w:b/>
          <w:sz w:val="32"/>
          <w:lang w:eastAsia="zh-CN"/>
        </w:rPr>
        <w:t>融合发展</w:t>
      </w:r>
      <w:r>
        <w:rPr>
          <w:rFonts w:hint="eastAsia" w:ascii="Times New Roman" w:hAnsi="Times New Roman" w:eastAsia="仿宋_GB2312" w:cs="Times New Roman"/>
          <w:b/>
          <w:sz w:val="32"/>
        </w:rPr>
        <w:t>深入推进。</w:t>
      </w:r>
      <w:r>
        <w:rPr>
          <w:rFonts w:hint="eastAsia" w:ascii="仿宋_GB2312" w:hAnsi="仿宋_GB2312" w:eastAsia="仿宋_GB2312" w:cs="仿宋_GB2312"/>
          <w:sz w:val="32"/>
          <w:szCs w:val="32"/>
        </w:rPr>
        <w:t>工业化和信息化</w:t>
      </w:r>
      <w:r>
        <w:rPr>
          <w:rFonts w:hint="eastAsia" w:ascii="仿宋_GB2312" w:hAnsi="仿宋_GB2312" w:eastAsia="仿宋_GB2312" w:cs="仿宋_GB2312"/>
          <w:sz w:val="32"/>
          <w:szCs w:val="32"/>
          <w:lang w:eastAsia="zh-CN"/>
        </w:rPr>
        <w:t>实现</w:t>
      </w:r>
      <w:r>
        <w:rPr>
          <w:rFonts w:hint="eastAsia" w:ascii="仿宋_GB2312" w:hAnsi="仿宋_GB2312" w:eastAsia="仿宋_GB2312" w:cs="仿宋_GB2312"/>
          <w:sz w:val="32"/>
          <w:szCs w:val="32"/>
        </w:rPr>
        <w:t>深度融合，制造业数字化、网络化、智能化水平显著提高。</w:t>
      </w:r>
      <w:r>
        <w:rPr>
          <w:rFonts w:hint="eastAsia" w:ascii="Times New Roman" w:hAnsi="Times New Roman" w:eastAsia="仿宋_GB2312" w:cs="Times New Roman"/>
          <w:sz w:val="32"/>
        </w:rPr>
        <w:t>先进制造业与现代服务业</w:t>
      </w:r>
      <w:r>
        <w:rPr>
          <w:rFonts w:hint="eastAsia" w:ascii="Times New Roman" w:hAnsi="Times New Roman" w:eastAsia="仿宋_GB2312" w:cs="Times New Roman"/>
          <w:sz w:val="32"/>
          <w:lang w:eastAsia="zh-CN"/>
        </w:rPr>
        <w:t>实现</w:t>
      </w:r>
      <w:r>
        <w:rPr>
          <w:rFonts w:hint="eastAsia" w:ascii="Times New Roman" w:hAnsi="Times New Roman" w:eastAsia="仿宋_GB2312" w:cs="Times New Roman"/>
          <w:color w:val="auto"/>
          <w:sz w:val="32"/>
          <w:shd w:val="clear" w:color="auto" w:fill="auto"/>
          <w:lang w:eastAsia="zh-CN"/>
        </w:rPr>
        <w:t>深度融合。区域合作更加密切，深度融入长三角一体化。</w:t>
      </w:r>
    </w:p>
    <w:p w14:paraId="552A60E7">
      <w:pPr>
        <w:spacing w:line="600" w:lineRule="exact"/>
        <w:ind w:firstLine="643" w:firstLineChars="200"/>
        <w:rPr>
          <w:rFonts w:ascii="仿宋_GB2312" w:hAnsi="仿宋_GB2312" w:eastAsia="仿宋_GB2312" w:cs="仿宋_GB2312"/>
          <w:sz w:val="32"/>
          <w:szCs w:val="32"/>
        </w:rPr>
      </w:pPr>
      <w:r>
        <w:rPr>
          <w:rFonts w:ascii="Times New Roman" w:hAnsi="Times New Roman" w:eastAsia="仿宋_GB2312" w:cs="Times New Roman"/>
          <w:b/>
          <w:sz w:val="32"/>
        </w:rPr>
        <w:t>——品牌建设</w:t>
      </w:r>
      <w:r>
        <w:rPr>
          <w:rFonts w:hint="eastAsia" w:ascii="Times New Roman" w:hAnsi="Times New Roman" w:eastAsia="仿宋_GB2312" w:cs="Times New Roman"/>
          <w:b/>
          <w:sz w:val="32"/>
        </w:rPr>
        <w:t>继续加强</w:t>
      </w:r>
      <w:r>
        <w:rPr>
          <w:rFonts w:ascii="Times New Roman" w:hAnsi="Times New Roman" w:eastAsia="仿宋_GB2312" w:cs="Times New Roman"/>
          <w:b/>
          <w:sz w:val="32"/>
        </w:rPr>
        <w:t>。</w:t>
      </w:r>
      <w:r>
        <w:rPr>
          <w:rFonts w:ascii="Times New Roman" w:hAnsi="Times New Roman" w:eastAsia="仿宋_GB2312" w:cs="Times New Roman"/>
          <w:sz w:val="32"/>
        </w:rPr>
        <w:t>制造业品牌和质量建设取得显著成效，企业盈利能力不断增强，</w:t>
      </w:r>
      <w:r>
        <w:rPr>
          <w:rFonts w:hint="eastAsia" w:ascii="Times New Roman" w:hAnsi="Times New Roman" w:eastAsia="仿宋_GB2312" w:cs="Times New Roman"/>
          <w:sz w:val="32"/>
          <w:lang w:eastAsia="zh-CN"/>
        </w:rPr>
        <w:t>品牌影响力不断提升，</w:t>
      </w:r>
      <w:r>
        <w:rPr>
          <w:rFonts w:ascii="Times New Roman" w:hAnsi="Times New Roman" w:eastAsia="仿宋_GB2312" w:cs="Times New Roman"/>
          <w:sz w:val="32"/>
        </w:rPr>
        <w:t>形成区域品牌、企业品牌、产品品牌三位一体的制造业质量品牌方阵。</w:t>
      </w:r>
    </w:p>
    <w:p w14:paraId="1BAF5A5E">
      <w:pPr>
        <w:spacing w:line="600" w:lineRule="exact"/>
        <w:ind w:firstLine="643" w:firstLineChars="200"/>
        <w:rPr>
          <w:rFonts w:hint="eastAsia" w:ascii="仿宋_GB2312" w:hAnsi="宋体" w:eastAsia="仿宋_GB2312" w:cs="宋体"/>
          <w:kern w:val="0"/>
          <w:sz w:val="32"/>
          <w:szCs w:val="32"/>
        </w:rPr>
      </w:pPr>
      <w:r>
        <w:rPr>
          <w:rFonts w:ascii="Times New Roman" w:hAnsi="Times New Roman" w:eastAsia="仿宋_GB2312" w:cs="Times New Roman"/>
          <w:b/>
          <w:sz w:val="32"/>
        </w:rPr>
        <w:t>——</w:t>
      </w:r>
      <w:r>
        <w:rPr>
          <w:rFonts w:hint="eastAsia" w:ascii="Times New Roman" w:hAnsi="Times New Roman" w:eastAsia="仿宋_GB2312" w:cs="Times New Roman"/>
          <w:b/>
          <w:sz w:val="32"/>
        </w:rPr>
        <w:t>绿色制造有效提升。</w:t>
      </w:r>
      <w:r>
        <w:rPr>
          <w:rFonts w:hint="eastAsia" w:ascii="仿宋_GB2312" w:hAnsi="宋体" w:eastAsia="仿宋_GB2312" w:cs="宋体"/>
          <w:kern w:val="0"/>
          <w:sz w:val="32"/>
          <w:szCs w:val="32"/>
        </w:rPr>
        <w:t>促进厂房集约化、原料无害化、生产洁净化、废物资源化、能源低碳化，绿色制造模式广泛应用，绿色制造体系进一步完善，</w:t>
      </w:r>
      <w:r>
        <w:rPr>
          <w:rFonts w:hint="eastAsia" w:ascii="仿宋_GB2312" w:hAnsi="仿宋_GB2312" w:eastAsia="仿宋_GB2312" w:cs="仿宋_GB2312"/>
          <w:sz w:val="32"/>
          <w:szCs w:val="32"/>
        </w:rPr>
        <w:t>绿色发展成效更加显著。</w:t>
      </w:r>
    </w:p>
    <w:p w14:paraId="5C9CDF26">
      <w:pPr>
        <w:pStyle w:val="14"/>
        <w:spacing w:after="0" w:line="600" w:lineRule="exact"/>
        <w:ind w:left="0" w:leftChars="0"/>
      </w:pPr>
      <w:r>
        <w:rPr>
          <w:rFonts w:ascii="Times New Roman" w:hAnsi="Times New Roman" w:eastAsia="仿宋_GB2312" w:cs="Times New Roman"/>
          <w:b/>
          <w:sz w:val="32"/>
        </w:rPr>
        <w:t>——</w:t>
      </w:r>
      <w:r>
        <w:rPr>
          <w:rFonts w:hint="eastAsia" w:ascii="仿宋_GB2312" w:hAnsi="仿宋_GB2312" w:eastAsia="仿宋_GB2312" w:cs="仿宋_GB2312"/>
          <w:b/>
          <w:bCs/>
          <w:sz w:val="32"/>
          <w:szCs w:val="32"/>
        </w:rPr>
        <w:t>龙头企业快速发展。</w:t>
      </w:r>
      <w:r>
        <w:rPr>
          <w:rFonts w:hint="eastAsia" w:ascii="仿宋_GB2312" w:hAnsi="仿宋_GB2312" w:eastAsia="仿宋_GB2312" w:cs="仿宋_GB2312"/>
          <w:sz w:val="32"/>
          <w:szCs w:val="32"/>
        </w:rPr>
        <w:t>工业企业“13581”龙头培育工程深入实施，资金、政策扶持力度不断加大，龙头企业对全市经济发展的支撑引领作用更加强劲。</w:t>
      </w:r>
    </w:p>
    <w:p w14:paraId="0E5DDB16">
      <w:pPr>
        <w:pStyle w:val="23"/>
        <w:spacing w:after="0" w:line="600" w:lineRule="exact"/>
        <w:ind w:left="0" w:leftChars="0" w:firstLine="0" w:firstLineChars="0"/>
        <w:jc w:val="center"/>
        <w:rPr>
          <w:rFonts w:hint="eastAsia" w:ascii="Times New Roman" w:hAnsi="Times New Roman" w:eastAsia="仿宋_GB2312" w:cs="Times New Roman"/>
          <w:b/>
          <w:bCs/>
          <w:sz w:val="24"/>
        </w:rPr>
      </w:pPr>
      <w:r>
        <w:rPr>
          <w:rFonts w:hint="eastAsia" w:ascii="Times New Roman" w:hAnsi="Times New Roman" w:eastAsia="仿宋_GB2312" w:cs="Times New Roman"/>
          <w:b/>
          <w:bCs/>
          <w:sz w:val="24"/>
        </w:rPr>
        <w:t>表2-1  “十四五”阜阳工业经济主要发展目标</w:t>
      </w:r>
    </w:p>
    <w:tbl>
      <w:tblPr>
        <w:tblStyle w:val="24"/>
        <w:tblW w:w="8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654"/>
        <w:gridCol w:w="666"/>
        <w:gridCol w:w="3922"/>
        <w:gridCol w:w="1128"/>
        <w:gridCol w:w="1125"/>
        <w:gridCol w:w="1249"/>
      </w:tblGrid>
      <w:tr w14:paraId="7EA3C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19" w:hRule="atLeast"/>
          <w:jc w:val="center"/>
        </w:trPr>
        <w:tc>
          <w:tcPr>
            <w:tcW w:w="654" w:type="dxa"/>
            <w:tcBorders>
              <w:top w:val="single" w:color="auto" w:sz="4" w:space="0"/>
              <w:left w:val="single" w:color="auto" w:sz="4" w:space="0"/>
              <w:bottom w:val="single" w:color="000000" w:sz="4" w:space="0"/>
              <w:right w:val="single" w:color="auto" w:sz="4" w:space="0"/>
            </w:tcBorders>
            <w:shd w:val="clear" w:color="auto" w:fill="FFFFFF"/>
            <w:vAlign w:val="center"/>
          </w:tcPr>
          <w:p w14:paraId="0D739BEB">
            <w:pPr>
              <w:widowControl/>
              <w:adjustRightInd w:val="0"/>
              <w:jc w:val="center"/>
              <w:rPr>
                <w:rFonts w:ascii="Times New Roman" w:hAnsi="Times New Roman" w:eastAsia="仿宋_GB2312" w:cs="Times New Roman"/>
                <w:b/>
                <w:sz w:val="24"/>
              </w:rPr>
            </w:pPr>
            <w:r>
              <w:rPr>
                <w:rFonts w:ascii="Times New Roman" w:hAnsi="Times New Roman" w:eastAsia="仿宋_GB2312" w:cs="Times New Roman"/>
                <w:b/>
                <w:sz w:val="24"/>
              </w:rPr>
              <w:t>序号</w:t>
            </w:r>
          </w:p>
        </w:tc>
        <w:tc>
          <w:tcPr>
            <w:tcW w:w="4588" w:type="dxa"/>
            <w:gridSpan w:val="2"/>
            <w:tcBorders>
              <w:top w:val="single" w:color="000000" w:sz="4" w:space="0"/>
              <w:left w:val="single" w:color="auto" w:sz="4" w:space="0"/>
              <w:bottom w:val="single" w:color="000000" w:sz="4" w:space="0"/>
              <w:right w:val="single" w:color="000000" w:sz="4" w:space="0"/>
            </w:tcBorders>
            <w:shd w:val="clear" w:color="auto" w:fill="FFFFFF"/>
            <w:vAlign w:val="center"/>
          </w:tcPr>
          <w:p w14:paraId="78CA676F">
            <w:pPr>
              <w:widowControl/>
              <w:adjustRightInd w:val="0"/>
              <w:jc w:val="center"/>
              <w:rPr>
                <w:rFonts w:ascii="Times New Roman" w:hAnsi="Times New Roman" w:eastAsia="仿宋_GB2312" w:cs="Times New Roman"/>
                <w:b/>
                <w:kern w:val="0"/>
                <w:sz w:val="24"/>
              </w:rPr>
            </w:pPr>
            <w:r>
              <w:rPr>
                <w:rFonts w:ascii="Times New Roman" w:hAnsi="Times New Roman" w:eastAsia="仿宋_GB2312" w:cs="Times New Roman"/>
                <w:b/>
                <w:sz w:val="24"/>
              </w:rPr>
              <w:t>指标</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636F6DB9">
            <w:pPr>
              <w:widowControl/>
              <w:adjustRightInd w:val="0"/>
              <w:jc w:val="center"/>
              <w:rPr>
                <w:rFonts w:ascii="Times New Roman" w:hAnsi="Times New Roman" w:eastAsia="仿宋_GB2312" w:cs="Times New Roman"/>
                <w:b/>
                <w:sz w:val="24"/>
              </w:rPr>
            </w:pPr>
            <w:r>
              <w:rPr>
                <w:rFonts w:ascii="Times New Roman" w:hAnsi="Times New Roman" w:eastAsia="仿宋_GB2312" w:cs="Times New Roman"/>
                <w:b/>
                <w:sz w:val="24"/>
              </w:rPr>
              <w:t>2020</w:t>
            </w:r>
            <w:r>
              <w:rPr>
                <w:rFonts w:hint="eastAsia" w:ascii="Times New Roman" w:hAnsi="Times New Roman" w:eastAsia="仿宋_GB2312" w:cs="Times New Roman"/>
                <w:b/>
                <w:sz w:val="24"/>
              </w:rPr>
              <w:t>年</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0EB47A01">
            <w:pPr>
              <w:widowControl/>
              <w:adjustRightInd w:val="0"/>
              <w:jc w:val="center"/>
              <w:rPr>
                <w:rFonts w:ascii="Times New Roman" w:hAnsi="Times New Roman" w:eastAsia="仿宋_GB2312" w:cs="Times New Roman"/>
                <w:b/>
                <w:kern w:val="0"/>
                <w:sz w:val="24"/>
              </w:rPr>
            </w:pPr>
            <w:r>
              <w:rPr>
                <w:rFonts w:ascii="Times New Roman" w:hAnsi="Times New Roman" w:eastAsia="仿宋_GB2312" w:cs="Times New Roman"/>
                <w:b/>
                <w:sz w:val="24"/>
              </w:rPr>
              <w:t>202</w:t>
            </w:r>
            <w:r>
              <w:rPr>
                <w:rFonts w:hint="eastAsia" w:ascii="Times New Roman" w:hAnsi="Times New Roman" w:eastAsia="仿宋_GB2312" w:cs="Times New Roman"/>
                <w:b/>
                <w:sz w:val="24"/>
              </w:rPr>
              <w:t>5年</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153BF19D">
            <w:pPr>
              <w:widowControl/>
              <w:adjustRightInd w:val="0"/>
              <w:jc w:val="center"/>
              <w:rPr>
                <w:rFonts w:hint="eastAsia" w:ascii="Times New Roman" w:hAnsi="Times New Roman" w:eastAsia="仿宋_GB2312" w:cs="Times New Roman"/>
                <w:b/>
                <w:sz w:val="24"/>
                <w:lang w:eastAsia="zh-CN"/>
              </w:rPr>
            </w:pPr>
            <w:r>
              <w:rPr>
                <w:rFonts w:hint="eastAsia" w:ascii="Times New Roman" w:hAnsi="Times New Roman" w:eastAsia="仿宋_GB2312" w:cs="Times New Roman"/>
                <w:b/>
                <w:sz w:val="24"/>
              </w:rPr>
              <w:t>备注</w:t>
            </w:r>
          </w:p>
        </w:tc>
      </w:tr>
      <w:tr w14:paraId="48AB2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4" w:type="dxa"/>
            <w:tcBorders>
              <w:top w:val="single" w:color="000000" w:sz="4" w:space="0"/>
              <w:left w:val="single" w:color="auto" w:sz="4" w:space="0"/>
              <w:bottom w:val="single" w:color="000000" w:sz="4" w:space="0"/>
              <w:right w:val="single" w:color="auto" w:sz="4" w:space="0"/>
            </w:tcBorders>
            <w:shd w:val="clear" w:color="auto" w:fill="FFFFFF"/>
            <w:vAlign w:val="center"/>
          </w:tcPr>
          <w:p w14:paraId="0EC11F23">
            <w:pPr>
              <w:widowControl/>
              <w:adjustRightInd w:val="0"/>
              <w:jc w:val="center"/>
              <w:rPr>
                <w:rFonts w:ascii="Times New Roman" w:hAnsi="Times New Roman" w:eastAsia="仿宋_GB2312" w:cs="Times New Roman"/>
                <w:sz w:val="24"/>
              </w:rPr>
            </w:pPr>
            <w:r>
              <w:rPr>
                <w:rFonts w:ascii="Times New Roman" w:hAnsi="Times New Roman" w:eastAsia="仿宋_GB2312" w:cs="Times New Roman"/>
                <w:sz w:val="24"/>
              </w:rPr>
              <w:t>1</w:t>
            </w:r>
          </w:p>
        </w:tc>
        <w:tc>
          <w:tcPr>
            <w:tcW w:w="666" w:type="dxa"/>
            <w:vMerge w:val="restart"/>
            <w:tcBorders>
              <w:top w:val="single" w:color="000000" w:sz="4" w:space="0"/>
              <w:left w:val="single" w:color="auto" w:sz="4" w:space="0"/>
              <w:right w:val="single" w:color="000000" w:sz="4" w:space="0"/>
            </w:tcBorders>
            <w:shd w:val="clear" w:color="auto" w:fill="FFFFFF"/>
            <w:vAlign w:val="center"/>
          </w:tcPr>
          <w:p w14:paraId="6735064D">
            <w:pPr>
              <w:widowControl/>
              <w:adjustRightInd w:val="0"/>
              <w:jc w:val="center"/>
              <w:rPr>
                <w:rFonts w:hint="eastAsia" w:ascii="Times New Roman" w:hAnsi="Times New Roman" w:eastAsia="仿宋_GB2312" w:cs="Times New Roman"/>
                <w:sz w:val="24"/>
                <w:lang w:eastAsia="zh-CN"/>
              </w:rPr>
            </w:pPr>
            <w:r>
              <w:rPr>
                <w:rFonts w:hint="eastAsia" w:ascii="Times New Roman" w:hAnsi="Times New Roman" w:eastAsia="仿宋_GB2312" w:cs="Times New Roman"/>
                <w:sz w:val="24"/>
                <w:lang w:eastAsia="zh-CN"/>
              </w:rPr>
              <w:t>工业实力</w:t>
            </w:r>
          </w:p>
        </w:tc>
        <w:tc>
          <w:tcPr>
            <w:tcW w:w="3922" w:type="dxa"/>
            <w:tcBorders>
              <w:top w:val="single" w:color="000000" w:sz="4" w:space="0"/>
              <w:left w:val="single" w:color="auto" w:sz="4" w:space="0"/>
              <w:bottom w:val="single" w:color="000000" w:sz="4" w:space="0"/>
              <w:right w:val="single" w:color="000000" w:sz="4" w:space="0"/>
            </w:tcBorders>
            <w:shd w:val="clear" w:color="auto" w:fill="FFFFFF"/>
            <w:vAlign w:val="center"/>
          </w:tcPr>
          <w:p w14:paraId="3C831425">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sz w:val="24"/>
              </w:rPr>
              <w:t>制造业增加值占GDP比重</w:t>
            </w:r>
            <w:r>
              <w:rPr>
                <w:rFonts w:ascii="Times New Roman" w:hAnsi="Times New Roman" w:eastAsia="仿宋_GB2312" w:cs="Times New Roman"/>
                <w:sz w:val="24"/>
              </w:rPr>
              <w:t>（%）</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4E2D0F54">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25.9</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4CFDC5F6">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3</w:t>
            </w:r>
            <w:r>
              <w:rPr>
                <w:rFonts w:hint="eastAsia" w:ascii="Times New Roman" w:hAnsi="Times New Roman" w:eastAsia="仿宋_GB2312" w:cs="Times New Roman"/>
                <w:kern w:val="0"/>
                <w:sz w:val="24"/>
                <w:lang w:val="en-US" w:eastAsia="zh-CN"/>
              </w:rPr>
              <w:t>0</w:t>
            </w:r>
            <w:r>
              <w:rPr>
                <w:rFonts w:hint="eastAsia" w:ascii="Times New Roman" w:hAnsi="Times New Roman" w:eastAsia="仿宋_GB2312" w:cs="Times New Roman"/>
                <w:kern w:val="0"/>
                <w:sz w:val="24"/>
              </w:rPr>
              <w:t>左右</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07C179A7">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w:t>
            </w:r>
          </w:p>
        </w:tc>
      </w:tr>
      <w:tr w14:paraId="693F8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4" w:type="dxa"/>
            <w:tcBorders>
              <w:top w:val="single" w:color="000000" w:sz="4" w:space="0"/>
              <w:left w:val="single" w:color="auto" w:sz="4" w:space="0"/>
              <w:bottom w:val="single" w:color="000000" w:sz="4" w:space="0"/>
              <w:right w:val="single" w:color="auto" w:sz="4" w:space="0"/>
            </w:tcBorders>
            <w:shd w:val="clear" w:color="auto" w:fill="FFFFFF"/>
            <w:vAlign w:val="center"/>
          </w:tcPr>
          <w:p w14:paraId="3F7DDCCD">
            <w:pPr>
              <w:widowControl/>
              <w:adjustRightInd w:val="0"/>
              <w:jc w:val="center"/>
              <w:rPr>
                <w:rFonts w:ascii="Times New Roman" w:hAnsi="Times New Roman" w:eastAsia="仿宋_GB2312" w:cs="Times New Roman"/>
                <w:sz w:val="24"/>
              </w:rPr>
            </w:pPr>
            <w:r>
              <w:rPr>
                <w:rFonts w:hint="eastAsia" w:ascii="Times New Roman" w:hAnsi="Times New Roman" w:eastAsia="仿宋_GB2312" w:cs="Times New Roman"/>
                <w:sz w:val="24"/>
              </w:rPr>
              <w:t>2</w:t>
            </w:r>
          </w:p>
        </w:tc>
        <w:tc>
          <w:tcPr>
            <w:tcW w:w="666" w:type="dxa"/>
            <w:vMerge w:val="continue"/>
            <w:tcBorders>
              <w:left w:val="single" w:color="auto" w:sz="4" w:space="0"/>
              <w:right w:val="single" w:color="000000" w:sz="4" w:space="0"/>
            </w:tcBorders>
            <w:shd w:val="clear" w:color="auto" w:fill="FFFFFF"/>
            <w:vAlign w:val="center"/>
          </w:tcPr>
          <w:p w14:paraId="179835C4">
            <w:pPr>
              <w:widowControl/>
              <w:adjustRightInd w:val="0"/>
              <w:jc w:val="center"/>
              <w:rPr>
                <w:rFonts w:ascii="Times New Roman" w:hAnsi="Times New Roman" w:eastAsia="仿宋_GB2312" w:cs="Times New Roman"/>
                <w:sz w:val="24"/>
              </w:rPr>
            </w:pPr>
          </w:p>
        </w:tc>
        <w:tc>
          <w:tcPr>
            <w:tcW w:w="3922" w:type="dxa"/>
            <w:tcBorders>
              <w:top w:val="single" w:color="000000" w:sz="4" w:space="0"/>
              <w:left w:val="single" w:color="auto" w:sz="4" w:space="0"/>
              <w:bottom w:val="single" w:color="000000" w:sz="4" w:space="0"/>
              <w:right w:val="single" w:color="000000" w:sz="4" w:space="0"/>
            </w:tcBorders>
            <w:shd w:val="clear" w:color="auto" w:fill="FFFFFF"/>
            <w:vAlign w:val="center"/>
          </w:tcPr>
          <w:p w14:paraId="6FE620C6">
            <w:pPr>
              <w:widowControl/>
              <w:adjustRightInd w:val="0"/>
              <w:jc w:val="center"/>
              <w:rPr>
                <w:rFonts w:ascii="Times New Roman" w:hAnsi="Times New Roman" w:eastAsia="仿宋_GB2312" w:cs="Times New Roman"/>
                <w:sz w:val="24"/>
              </w:rPr>
            </w:pPr>
            <w:r>
              <w:rPr>
                <w:rFonts w:ascii="Times New Roman" w:hAnsi="Times New Roman" w:eastAsia="仿宋_GB2312" w:cs="Times New Roman"/>
                <w:sz w:val="24"/>
              </w:rPr>
              <w:t>工业增加值年均增长率（%）</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22E40000">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9.3</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6A869DD4">
            <w:pPr>
              <w:widowControl/>
              <w:adjustRightInd w:val="0"/>
              <w:jc w:val="center"/>
              <w:rPr>
                <w:rFonts w:hint="eastAsia" w:ascii="Times New Roman" w:hAnsi="Times New Roman" w:eastAsia="仿宋_GB2312" w:cs="Times New Roman"/>
                <w:kern w:val="0"/>
                <w:sz w:val="24"/>
                <w:lang w:eastAsia="zh-CN"/>
              </w:rPr>
            </w:pPr>
            <w:r>
              <w:rPr>
                <w:rFonts w:hint="eastAsia" w:ascii="Times New Roman" w:hAnsi="Times New Roman" w:eastAsia="仿宋_GB2312" w:cs="Times New Roman"/>
                <w:kern w:val="0"/>
                <w:sz w:val="24"/>
                <w:lang w:val="en-US" w:eastAsia="zh-CN"/>
              </w:rPr>
              <w:t>10以上</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0A4495AA">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w:t>
            </w:r>
          </w:p>
        </w:tc>
      </w:tr>
      <w:tr w14:paraId="3DD98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654" w:type="dxa"/>
            <w:tcBorders>
              <w:top w:val="single" w:color="auto" w:sz="4" w:space="0"/>
              <w:left w:val="single" w:color="auto" w:sz="4" w:space="0"/>
              <w:bottom w:val="single" w:color="000000" w:sz="4" w:space="0"/>
              <w:right w:val="single" w:color="auto" w:sz="4" w:space="0"/>
            </w:tcBorders>
            <w:shd w:val="clear" w:color="auto" w:fill="FFFFFF"/>
            <w:vAlign w:val="center"/>
          </w:tcPr>
          <w:p w14:paraId="7F2F05FF">
            <w:pPr>
              <w:widowControl/>
              <w:adjustRightInd w:val="0"/>
              <w:jc w:val="center"/>
              <w:rPr>
                <w:rFonts w:ascii="Times New Roman" w:hAnsi="Times New Roman" w:eastAsia="仿宋_GB2312" w:cs="Times New Roman"/>
                <w:sz w:val="24"/>
              </w:rPr>
            </w:pPr>
            <w:r>
              <w:rPr>
                <w:rFonts w:hint="eastAsia" w:ascii="Times New Roman" w:hAnsi="Times New Roman" w:eastAsia="仿宋_GB2312" w:cs="Times New Roman"/>
                <w:sz w:val="24"/>
              </w:rPr>
              <w:t>3</w:t>
            </w:r>
          </w:p>
        </w:tc>
        <w:tc>
          <w:tcPr>
            <w:tcW w:w="666" w:type="dxa"/>
            <w:vMerge w:val="restart"/>
            <w:tcBorders>
              <w:top w:val="single" w:color="auto" w:sz="4" w:space="0"/>
              <w:left w:val="single" w:color="auto" w:sz="4" w:space="0"/>
              <w:right w:val="single" w:color="000000" w:sz="4" w:space="0"/>
            </w:tcBorders>
            <w:shd w:val="clear" w:color="auto" w:fill="FFFFFF"/>
            <w:vAlign w:val="center"/>
          </w:tcPr>
          <w:p w14:paraId="34A84D68">
            <w:pPr>
              <w:widowControl/>
              <w:adjustRightInd w:val="0"/>
              <w:jc w:val="center"/>
              <w:rPr>
                <w:rFonts w:ascii="Times New Roman" w:hAnsi="Times New Roman" w:eastAsia="仿宋_GB2312" w:cs="Times New Roman"/>
                <w:sz w:val="24"/>
              </w:rPr>
            </w:pPr>
            <w:r>
              <w:rPr>
                <w:rFonts w:hint="eastAsia" w:ascii="Times New Roman" w:hAnsi="Times New Roman" w:eastAsia="仿宋_GB2312" w:cs="Times New Roman"/>
                <w:sz w:val="24"/>
              </w:rPr>
              <w:t>产业结构</w:t>
            </w:r>
          </w:p>
        </w:tc>
        <w:tc>
          <w:tcPr>
            <w:tcW w:w="3922" w:type="dxa"/>
            <w:tcBorders>
              <w:top w:val="single" w:color="auto" w:sz="4" w:space="0"/>
              <w:left w:val="single" w:color="auto" w:sz="4" w:space="0"/>
              <w:bottom w:val="single" w:color="000000" w:sz="4" w:space="0"/>
              <w:right w:val="single" w:color="000000" w:sz="4" w:space="0"/>
            </w:tcBorders>
            <w:shd w:val="clear" w:color="auto" w:fill="FFFFFF"/>
            <w:vAlign w:val="center"/>
          </w:tcPr>
          <w:p w14:paraId="629EE452">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sz w:val="24"/>
              </w:rPr>
              <w:t>战略性新兴产业占</w:t>
            </w:r>
            <w:r>
              <w:rPr>
                <w:rFonts w:hint="eastAsia" w:ascii="Times New Roman" w:hAnsi="Times New Roman" w:eastAsia="仿宋_GB2312" w:cs="Times New Roman"/>
                <w:sz w:val="24"/>
                <w:lang w:val="en-US" w:eastAsia="zh-CN"/>
              </w:rPr>
              <w:t>规模以上</w:t>
            </w:r>
            <w:r>
              <w:rPr>
                <w:rFonts w:hint="eastAsia" w:ascii="Times New Roman" w:hAnsi="Times New Roman" w:eastAsia="仿宋_GB2312" w:cs="Times New Roman"/>
                <w:sz w:val="24"/>
              </w:rPr>
              <w:t>工业产值比重（%）</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0243C1DE">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38.7</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2E3345BD">
            <w:pPr>
              <w:widowControl/>
              <w:adjustRightInd w:val="0"/>
              <w:jc w:val="center"/>
              <w:rPr>
                <w:rFonts w:hint="default" w:ascii="Times New Roman" w:hAnsi="Times New Roman" w:eastAsia="仿宋_GB2312" w:cs="Times New Roman"/>
                <w:kern w:val="0"/>
                <w:sz w:val="24"/>
                <w:lang w:val="en-US" w:eastAsia="zh-CN"/>
              </w:rPr>
            </w:pPr>
            <w:r>
              <w:rPr>
                <w:rFonts w:hint="eastAsia" w:ascii="Times New Roman" w:hAnsi="Times New Roman" w:eastAsia="仿宋_GB2312" w:cs="Times New Roman"/>
                <w:kern w:val="0"/>
                <w:sz w:val="24"/>
              </w:rPr>
              <w:t>4</w:t>
            </w:r>
            <w:r>
              <w:rPr>
                <w:rFonts w:hint="eastAsia" w:ascii="Times New Roman" w:hAnsi="Times New Roman" w:eastAsia="仿宋_GB2312" w:cs="Times New Roman"/>
                <w:kern w:val="0"/>
                <w:sz w:val="24"/>
                <w:lang w:val="en-US" w:eastAsia="zh-CN"/>
              </w:rPr>
              <w:t>5左右</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5192D8E4">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w:t>
            </w:r>
          </w:p>
        </w:tc>
      </w:tr>
      <w:tr w14:paraId="7241A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18" w:hRule="atLeast"/>
          <w:jc w:val="center"/>
        </w:trPr>
        <w:tc>
          <w:tcPr>
            <w:tcW w:w="654" w:type="dxa"/>
            <w:tcBorders>
              <w:top w:val="single" w:color="000000" w:sz="4" w:space="0"/>
              <w:left w:val="single" w:color="auto" w:sz="4" w:space="0"/>
              <w:bottom w:val="single" w:color="auto" w:sz="4" w:space="0"/>
              <w:right w:val="single" w:color="auto" w:sz="4" w:space="0"/>
            </w:tcBorders>
            <w:shd w:val="clear" w:color="auto" w:fill="FFFFFF"/>
            <w:vAlign w:val="center"/>
          </w:tcPr>
          <w:p w14:paraId="30CBDE5E">
            <w:pPr>
              <w:widowControl/>
              <w:adjustRightInd w:val="0"/>
              <w:jc w:val="center"/>
              <w:rPr>
                <w:rFonts w:ascii="Times New Roman" w:hAnsi="Times New Roman" w:eastAsia="仿宋_GB2312" w:cs="Times New Roman"/>
                <w:sz w:val="24"/>
              </w:rPr>
            </w:pPr>
            <w:r>
              <w:rPr>
                <w:rFonts w:hint="eastAsia" w:ascii="Times New Roman" w:hAnsi="Times New Roman" w:eastAsia="仿宋_GB2312" w:cs="Times New Roman"/>
                <w:sz w:val="24"/>
              </w:rPr>
              <w:t>4</w:t>
            </w:r>
          </w:p>
        </w:tc>
        <w:tc>
          <w:tcPr>
            <w:tcW w:w="666" w:type="dxa"/>
            <w:vMerge w:val="continue"/>
            <w:tcBorders>
              <w:left w:val="single" w:color="auto" w:sz="4" w:space="0"/>
              <w:right w:val="single" w:color="000000" w:sz="4" w:space="0"/>
            </w:tcBorders>
            <w:shd w:val="clear" w:color="auto" w:fill="FFFFFF"/>
            <w:vAlign w:val="center"/>
          </w:tcPr>
          <w:p w14:paraId="0733F012">
            <w:pPr>
              <w:widowControl/>
              <w:adjustRightInd w:val="0"/>
              <w:jc w:val="center"/>
              <w:rPr>
                <w:rFonts w:ascii="Times New Roman" w:hAnsi="Times New Roman" w:eastAsia="仿宋_GB2312" w:cs="Times New Roman"/>
                <w:sz w:val="24"/>
              </w:rPr>
            </w:pPr>
          </w:p>
        </w:tc>
        <w:tc>
          <w:tcPr>
            <w:tcW w:w="3922" w:type="dxa"/>
            <w:tcBorders>
              <w:top w:val="single" w:color="000000" w:sz="4" w:space="0"/>
              <w:left w:val="single" w:color="auto" w:sz="4" w:space="0"/>
              <w:bottom w:val="single" w:color="auto" w:sz="4" w:space="0"/>
              <w:right w:val="single" w:color="000000" w:sz="4" w:space="0"/>
            </w:tcBorders>
            <w:shd w:val="clear" w:color="auto" w:fill="FFFFFF"/>
            <w:vAlign w:val="center"/>
          </w:tcPr>
          <w:p w14:paraId="45894A91">
            <w:pPr>
              <w:widowControl/>
              <w:adjustRightInd w:val="0"/>
              <w:jc w:val="center"/>
              <w:rPr>
                <w:rFonts w:ascii="Times New Roman" w:hAnsi="Times New Roman" w:eastAsia="仿宋_GB2312" w:cs="Times New Roman"/>
                <w:sz w:val="24"/>
              </w:rPr>
            </w:pPr>
            <w:r>
              <w:rPr>
                <w:rFonts w:ascii="Times New Roman" w:hAnsi="Times New Roman" w:eastAsia="仿宋_GB2312" w:cs="Times New Roman"/>
                <w:sz w:val="24"/>
              </w:rPr>
              <w:t>高新技术产业增加值占规模以上</w:t>
            </w:r>
          </w:p>
          <w:p w14:paraId="1A8C8A8D">
            <w:pPr>
              <w:widowControl/>
              <w:adjustRightInd w:val="0"/>
              <w:jc w:val="center"/>
              <w:rPr>
                <w:rFonts w:ascii="Times New Roman" w:hAnsi="Times New Roman" w:eastAsia="仿宋_GB2312" w:cs="Times New Roman"/>
                <w:sz w:val="24"/>
              </w:rPr>
            </w:pPr>
            <w:r>
              <w:rPr>
                <w:rFonts w:ascii="Times New Roman" w:hAnsi="Times New Roman" w:eastAsia="仿宋_GB2312" w:cs="Times New Roman"/>
                <w:sz w:val="24"/>
              </w:rPr>
              <w:t>工业</w:t>
            </w:r>
            <w:r>
              <w:rPr>
                <w:rFonts w:hint="eastAsia" w:ascii="Times New Roman" w:hAnsi="Times New Roman" w:eastAsia="仿宋_GB2312" w:cs="Times New Roman"/>
                <w:sz w:val="24"/>
                <w:lang w:val="en-US" w:eastAsia="zh-CN"/>
              </w:rPr>
              <w:t>增加值</w:t>
            </w:r>
            <w:r>
              <w:rPr>
                <w:rFonts w:ascii="Times New Roman" w:hAnsi="Times New Roman" w:eastAsia="仿宋_GB2312" w:cs="Times New Roman"/>
                <w:sz w:val="24"/>
              </w:rPr>
              <w:t>比重（%）</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6787B922">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30.4</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54995E87">
            <w:pPr>
              <w:widowControl/>
              <w:adjustRightInd w:val="0"/>
              <w:jc w:val="center"/>
              <w:rPr>
                <w:rFonts w:hint="default" w:ascii="Times New Roman" w:hAnsi="Times New Roman" w:eastAsia="仿宋_GB2312" w:cs="Times New Roman"/>
                <w:kern w:val="0"/>
                <w:sz w:val="24"/>
                <w:lang w:val="en-US" w:eastAsia="zh-CN"/>
              </w:rPr>
            </w:pPr>
            <w:r>
              <w:rPr>
                <w:rFonts w:hint="eastAsia" w:ascii="Times New Roman" w:hAnsi="Times New Roman" w:eastAsia="仿宋_GB2312" w:cs="Times New Roman"/>
                <w:kern w:val="0"/>
                <w:sz w:val="24"/>
                <w:lang w:val="en-US" w:eastAsia="zh-CN"/>
              </w:rPr>
              <w:t>40左右</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6C36A715">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w:t>
            </w:r>
          </w:p>
        </w:tc>
      </w:tr>
      <w:tr w14:paraId="6B391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4" w:type="dxa"/>
            <w:tcBorders>
              <w:top w:val="single" w:color="auto" w:sz="4" w:space="0"/>
              <w:left w:val="single" w:color="auto" w:sz="4" w:space="0"/>
              <w:bottom w:val="single" w:color="000000" w:sz="4" w:space="0"/>
              <w:right w:val="single" w:color="auto" w:sz="4" w:space="0"/>
            </w:tcBorders>
            <w:shd w:val="clear" w:color="auto" w:fill="FFFFFF"/>
            <w:vAlign w:val="center"/>
          </w:tcPr>
          <w:p w14:paraId="4F1910A3">
            <w:pPr>
              <w:widowControl/>
              <w:adjustRightInd w:val="0"/>
              <w:jc w:val="center"/>
              <w:rPr>
                <w:rFonts w:ascii="Times New Roman" w:hAnsi="Times New Roman" w:eastAsia="仿宋_GB2312" w:cs="Times New Roman"/>
                <w:sz w:val="24"/>
              </w:rPr>
            </w:pPr>
            <w:r>
              <w:rPr>
                <w:rFonts w:hint="eastAsia" w:ascii="Times New Roman" w:hAnsi="Times New Roman" w:eastAsia="仿宋_GB2312" w:cs="Times New Roman"/>
                <w:sz w:val="24"/>
              </w:rPr>
              <w:t>5</w:t>
            </w:r>
          </w:p>
        </w:tc>
        <w:tc>
          <w:tcPr>
            <w:tcW w:w="666" w:type="dxa"/>
            <w:vMerge w:val="restart"/>
            <w:tcBorders>
              <w:left w:val="single" w:color="auto" w:sz="4" w:space="0"/>
              <w:right w:val="single" w:color="auto" w:sz="4" w:space="0"/>
            </w:tcBorders>
            <w:shd w:val="clear" w:color="auto" w:fill="FFFFFF"/>
            <w:vAlign w:val="center"/>
          </w:tcPr>
          <w:p w14:paraId="4942BDC7">
            <w:pPr>
              <w:tabs>
                <w:tab w:val="left" w:pos="223"/>
              </w:tabs>
              <w:adjustRightInd w:val="0"/>
              <w:jc w:val="center"/>
              <w:rPr>
                <w:rFonts w:ascii="Times New Roman" w:hAnsi="Times New Roman" w:eastAsia="仿宋_GB2312" w:cs="Times New Roman"/>
                <w:sz w:val="24"/>
              </w:rPr>
            </w:pPr>
            <w:r>
              <w:rPr>
                <w:rFonts w:hint="eastAsia" w:ascii="Times New Roman" w:hAnsi="Times New Roman" w:eastAsia="仿宋_GB2312" w:cs="Times New Roman"/>
                <w:sz w:val="24"/>
              </w:rPr>
              <w:t>创新能力</w:t>
            </w:r>
          </w:p>
        </w:tc>
        <w:tc>
          <w:tcPr>
            <w:tcW w:w="3922" w:type="dxa"/>
            <w:tcBorders>
              <w:top w:val="single" w:color="auto" w:sz="4" w:space="0"/>
              <w:left w:val="single" w:color="auto" w:sz="4" w:space="0"/>
              <w:bottom w:val="single" w:color="000000" w:sz="4" w:space="0"/>
              <w:right w:val="single" w:color="000000" w:sz="4" w:space="0"/>
            </w:tcBorders>
            <w:shd w:val="clear" w:color="auto" w:fill="FFFFFF"/>
            <w:vAlign w:val="center"/>
          </w:tcPr>
          <w:p w14:paraId="50A41747">
            <w:pPr>
              <w:widowControl/>
              <w:adjustRightInd w:val="0"/>
              <w:jc w:val="center"/>
              <w:rPr>
                <w:rFonts w:ascii="Times New Roman" w:hAnsi="Times New Roman" w:eastAsia="仿宋_GB2312" w:cs="Times New Roman"/>
                <w:sz w:val="24"/>
              </w:rPr>
            </w:pPr>
            <w:r>
              <w:rPr>
                <w:rFonts w:ascii="Times New Roman" w:hAnsi="Times New Roman" w:eastAsia="仿宋_GB2312" w:cs="Times New Roman"/>
                <w:sz w:val="24"/>
              </w:rPr>
              <w:t>省级企业技术中心（家）</w:t>
            </w:r>
          </w:p>
        </w:tc>
        <w:tc>
          <w:tcPr>
            <w:tcW w:w="1128" w:type="dxa"/>
            <w:tcBorders>
              <w:top w:val="single" w:color="auto" w:sz="4" w:space="0"/>
              <w:left w:val="nil"/>
              <w:bottom w:val="single" w:color="000000" w:sz="4" w:space="0"/>
              <w:right w:val="single" w:color="000000" w:sz="4" w:space="0"/>
            </w:tcBorders>
            <w:shd w:val="clear" w:color="auto" w:fill="FFFFFF"/>
            <w:vAlign w:val="center"/>
          </w:tcPr>
          <w:p w14:paraId="5BD4CE34">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115</w:t>
            </w:r>
          </w:p>
        </w:tc>
        <w:tc>
          <w:tcPr>
            <w:tcW w:w="1125" w:type="dxa"/>
            <w:tcBorders>
              <w:top w:val="single" w:color="auto" w:sz="4" w:space="0"/>
              <w:left w:val="nil"/>
              <w:bottom w:val="single" w:color="000000" w:sz="4" w:space="0"/>
              <w:right w:val="single" w:color="000000" w:sz="4" w:space="0"/>
            </w:tcBorders>
            <w:shd w:val="clear" w:color="auto" w:fill="FFFFFF"/>
            <w:vAlign w:val="center"/>
          </w:tcPr>
          <w:p w14:paraId="1035CAFD">
            <w:pPr>
              <w:widowControl/>
              <w:adjustRightInd w:val="0"/>
              <w:jc w:val="center"/>
              <w:rPr>
                <w:rFonts w:hint="default" w:ascii="Times New Roman" w:hAnsi="Times New Roman" w:eastAsia="仿宋_GB2312" w:cs="Times New Roman"/>
                <w:kern w:val="0"/>
                <w:sz w:val="24"/>
                <w:lang w:val="en-US" w:eastAsia="zh-CN"/>
              </w:rPr>
            </w:pPr>
            <w:r>
              <w:rPr>
                <w:rFonts w:hint="eastAsia" w:ascii="Times New Roman" w:hAnsi="Times New Roman" w:eastAsia="仿宋_GB2312" w:cs="Times New Roman"/>
                <w:kern w:val="0"/>
                <w:sz w:val="24"/>
              </w:rPr>
              <w:t>1</w:t>
            </w:r>
            <w:r>
              <w:rPr>
                <w:rFonts w:hint="eastAsia" w:ascii="Times New Roman" w:hAnsi="Times New Roman" w:eastAsia="仿宋_GB2312" w:cs="Times New Roman"/>
                <w:kern w:val="0"/>
                <w:sz w:val="24"/>
                <w:lang w:val="en-US" w:eastAsia="zh-CN"/>
              </w:rPr>
              <w:t>45</w:t>
            </w:r>
          </w:p>
        </w:tc>
        <w:tc>
          <w:tcPr>
            <w:tcW w:w="1249" w:type="dxa"/>
            <w:tcBorders>
              <w:top w:val="single" w:color="auto" w:sz="4" w:space="0"/>
              <w:left w:val="nil"/>
              <w:bottom w:val="single" w:color="000000" w:sz="4" w:space="0"/>
              <w:right w:val="single" w:color="000000" w:sz="4" w:space="0"/>
            </w:tcBorders>
            <w:shd w:val="clear" w:color="auto" w:fill="FFFFFF"/>
            <w:vAlign w:val="center"/>
          </w:tcPr>
          <w:p w14:paraId="5571D99A">
            <w:pPr>
              <w:widowControl/>
              <w:adjustRightInd w:val="0"/>
              <w:jc w:val="center"/>
              <w:rPr>
                <w:rFonts w:hint="eastAsia" w:ascii="Times New Roman" w:hAnsi="Times New Roman" w:eastAsia="仿宋_GB2312" w:cs="Times New Roman"/>
                <w:kern w:val="0"/>
                <w:sz w:val="24"/>
                <w:lang w:eastAsia="zh-CN"/>
              </w:rPr>
            </w:pPr>
            <w:r>
              <w:rPr>
                <w:rFonts w:hint="eastAsia" w:ascii="Times New Roman" w:hAnsi="Times New Roman" w:eastAsia="仿宋_GB2312" w:cs="Times New Roman"/>
                <w:kern w:val="0"/>
                <w:sz w:val="24"/>
                <w:lang w:eastAsia="zh-CN"/>
              </w:rPr>
              <w:t>累计</w:t>
            </w:r>
          </w:p>
        </w:tc>
      </w:tr>
      <w:tr w14:paraId="208FF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654" w:type="dxa"/>
            <w:tcBorders>
              <w:top w:val="single" w:color="auto" w:sz="4" w:space="0"/>
              <w:left w:val="single" w:color="auto" w:sz="4" w:space="0"/>
              <w:bottom w:val="single" w:color="auto" w:sz="4" w:space="0"/>
              <w:right w:val="single" w:color="auto" w:sz="4" w:space="0"/>
            </w:tcBorders>
            <w:shd w:val="clear" w:color="auto" w:fill="FFFFFF"/>
            <w:vAlign w:val="center"/>
          </w:tcPr>
          <w:p w14:paraId="530B5673">
            <w:pPr>
              <w:widowControl/>
              <w:jc w:val="center"/>
              <w:rPr>
                <w:rFonts w:ascii="Times New Roman" w:hAnsi="Times New Roman" w:eastAsia="仿宋_GB2312" w:cs="Times New Roman"/>
                <w:sz w:val="24"/>
              </w:rPr>
            </w:pPr>
            <w:r>
              <w:rPr>
                <w:rFonts w:hint="eastAsia" w:ascii="Times New Roman" w:hAnsi="Times New Roman" w:eastAsia="仿宋_GB2312" w:cs="Times New Roman"/>
                <w:sz w:val="24"/>
              </w:rPr>
              <w:t>6</w:t>
            </w:r>
          </w:p>
        </w:tc>
        <w:tc>
          <w:tcPr>
            <w:tcW w:w="666" w:type="dxa"/>
            <w:vMerge w:val="continue"/>
            <w:tcBorders>
              <w:left w:val="single" w:color="auto" w:sz="4" w:space="0"/>
              <w:right w:val="single" w:color="auto" w:sz="4" w:space="0"/>
            </w:tcBorders>
            <w:shd w:val="clear" w:color="auto" w:fill="FFFFFF"/>
            <w:vAlign w:val="center"/>
          </w:tcPr>
          <w:p w14:paraId="2E8ED339">
            <w:pPr>
              <w:adjustRightInd w:val="0"/>
              <w:jc w:val="center"/>
              <w:rPr>
                <w:rFonts w:ascii="Times New Roman" w:hAnsi="Times New Roman" w:eastAsia="仿宋_GB2312" w:cs="Times New Roman"/>
                <w:sz w:val="24"/>
              </w:rPr>
            </w:pPr>
          </w:p>
        </w:tc>
        <w:tc>
          <w:tcPr>
            <w:tcW w:w="3922" w:type="dxa"/>
            <w:tcBorders>
              <w:top w:val="single" w:color="auto" w:sz="4" w:space="0"/>
              <w:left w:val="single" w:color="auto" w:sz="4" w:space="0"/>
              <w:bottom w:val="single" w:color="000000" w:sz="4" w:space="0"/>
              <w:right w:val="single" w:color="000000" w:sz="4" w:space="0"/>
            </w:tcBorders>
            <w:shd w:val="clear" w:color="auto" w:fill="FFFFFF"/>
            <w:vAlign w:val="center"/>
          </w:tcPr>
          <w:p w14:paraId="6155C444">
            <w:pPr>
              <w:widowControl/>
              <w:adjustRightInd w:val="0"/>
              <w:jc w:val="center"/>
              <w:rPr>
                <w:rFonts w:ascii="Times New Roman" w:hAnsi="Times New Roman" w:eastAsia="仿宋_GB2312" w:cs="Times New Roman"/>
                <w:sz w:val="24"/>
              </w:rPr>
            </w:pPr>
            <w:r>
              <w:rPr>
                <w:rFonts w:hint="eastAsia" w:ascii="Times New Roman" w:hAnsi="Times New Roman" w:eastAsia="仿宋_GB2312" w:cs="Times New Roman"/>
                <w:sz w:val="24"/>
              </w:rPr>
              <w:t>国家</w:t>
            </w:r>
            <w:r>
              <w:rPr>
                <w:rFonts w:ascii="Times New Roman" w:hAnsi="Times New Roman" w:eastAsia="仿宋_GB2312" w:cs="Times New Roman"/>
                <w:sz w:val="24"/>
              </w:rPr>
              <w:t>级企业技术中心（家）</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5371A6B1">
            <w:pPr>
              <w:widowControl/>
              <w:adjustRightInd w:val="0"/>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12DFB6B9">
            <w:pPr>
              <w:widowControl/>
              <w:adjustRightInd w:val="0"/>
              <w:jc w:val="center"/>
              <w:rPr>
                <w:rFonts w:hint="eastAsia" w:ascii="Times New Roman" w:hAnsi="Times New Roman" w:eastAsia="仿宋_GB2312" w:cs="Times New Roman"/>
                <w:kern w:val="0"/>
                <w:sz w:val="24"/>
                <w:lang w:eastAsia="zh-CN"/>
              </w:rPr>
            </w:pPr>
            <w:r>
              <w:rPr>
                <w:rFonts w:hint="eastAsia" w:ascii="Times New Roman" w:hAnsi="Times New Roman" w:eastAsia="仿宋_GB2312" w:cs="Times New Roman"/>
                <w:kern w:val="0"/>
                <w:sz w:val="24"/>
                <w:lang w:val="en-US" w:eastAsia="zh-CN"/>
              </w:rPr>
              <w:t>4</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2C4E2203">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lang w:eastAsia="zh-CN"/>
              </w:rPr>
              <w:t>累计</w:t>
            </w:r>
          </w:p>
        </w:tc>
      </w:tr>
      <w:tr w14:paraId="7B0CE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4" w:type="dxa"/>
            <w:tcBorders>
              <w:top w:val="single" w:color="auto" w:sz="4" w:space="0"/>
              <w:left w:val="single" w:color="auto" w:sz="4" w:space="0"/>
              <w:bottom w:val="single" w:color="auto" w:sz="4" w:space="0"/>
              <w:right w:val="single" w:color="auto" w:sz="4" w:space="0"/>
            </w:tcBorders>
            <w:shd w:val="clear" w:color="auto" w:fill="FFFFFF"/>
            <w:vAlign w:val="center"/>
          </w:tcPr>
          <w:p w14:paraId="47F2F3EB">
            <w:pPr>
              <w:widowControl/>
              <w:jc w:val="center"/>
              <w:rPr>
                <w:rFonts w:ascii="Times New Roman" w:hAnsi="Times New Roman" w:eastAsia="仿宋_GB2312" w:cs="Times New Roman"/>
                <w:sz w:val="24"/>
              </w:rPr>
            </w:pPr>
            <w:r>
              <w:rPr>
                <w:rFonts w:hint="eastAsia" w:ascii="Times New Roman" w:hAnsi="Times New Roman" w:eastAsia="仿宋_GB2312" w:cs="Times New Roman"/>
                <w:sz w:val="24"/>
              </w:rPr>
              <w:t>7</w:t>
            </w:r>
          </w:p>
        </w:tc>
        <w:tc>
          <w:tcPr>
            <w:tcW w:w="666" w:type="dxa"/>
            <w:vMerge w:val="continue"/>
            <w:tcBorders>
              <w:left w:val="single" w:color="auto" w:sz="4" w:space="0"/>
              <w:right w:val="single" w:color="auto" w:sz="4" w:space="0"/>
            </w:tcBorders>
            <w:shd w:val="clear" w:color="auto" w:fill="FFFFFF"/>
            <w:vAlign w:val="center"/>
          </w:tcPr>
          <w:p w14:paraId="51880A58">
            <w:pPr>
              <w:adjustRightInd w:val="0"/>
              <w:jc w:val="center"/>
              <w:rPr>
                <w:rFonts w:ascii="Times New Roman" w:hAnsi="Times New Roman" w:eastAsia="仿宋_GB2312" w:cs="Times New Roman"/>
                <w:sz w:val="24"/>
              </w:rPr>
            </w:pPr>
          </w:p>
        </w:tc>
        <w:tc>
          <w:tcPr>
            <w:tcW w:w="3922" w:type="dxa"/>
            <w:tcBorders>
              <w:top w:val="single" w:color="auto" w:sz="4" w:space="0"/>
              <w:left w:val="single" w:color="auto" w:sz="4" w:space="0"/>
              <w:bottom w:val="single" w:color="000000" w:sz="4" w:space="0"/>
              <w:right w:val="single" w:color="000000" w:sz="4" w:space="0"/>
            </w:tcBorders>
            <w:shd w:val="clear" w:color="auto" w:fill="FFFFFF"/>
            <w:vAlign w:val="center"/>
          </w:tcPr>
          <w:p w14:paraId="733429DC">
            <w:pPr>
              <w:widowControl/>
              <w:adjustRightInd w:val="0"/>
              <w:jc w:val="center"/>
              <w:rPr>
                <w:rFonts w:ascii="Times New Roman" w:hAnsi="Times New Roman" w:eastAsia="仿宋_GB2312" w:cs="Times New Roman"/>
                <w:sz w:val="24"/>
              </w:rPr>
            </w:pPr>
            <w:r>
              <w:rPr>
                <w:rFonts w:ascii="Times New Roman" w:hAnsi="Times New Roman" w:eastAsia="仿宋_GB2312" w:cs="Times New Roman"/>
                <w:sz w:val="24"/>
              </w:rPr>
              <w:t>省级</w:t>
            </w:r>
            <w:r>
              <w:rPr>
                <w:rFonts w:hint="eastAsia" w:ascii="Times New Roman" w:hAnsi="Times New Roman" w:eastAsia="仿宋_GB2312" w:cs="Times New Roman"/>
                <w:sz w:val="24"/>
                <w:lang w:eastAsia="zh-CN"/>
              </w:rPr>
              <w:t>“</w:t>
            </w:r>
            <w:r>
              <w:rPr>
                <w:rFonts w:hint="eastAsia" w:ascii="Times New Roman" w:hAnsi="Times New Roman" w:eastAsia="仿宋_GB2312" w:cs="Times New Roman"/>
                <w:sz w:val="24"/>
              </w:rPr>
              <w:t>专精特新</w:t>
            </w:r>
            <w:r>
              <w:rPr>
                <w:rFonts w:hint="eastAsia" w:ascii="Times New Roman" w:hAnsi="Times New Roman" w:eastAsia="仿宋_GB2312" w:cs="Times New Roman"/>
                <w:sz w:val="24"/>
                <w:lang w:eastAsia="zh-CN"/>
              </w:rPr>
              <w:t>”</w:t>
            </w:r>
            <w:r>
              <w:rPr>
                <w:rFonts w:hint="eastAsia" w:ascii="Times New Roman" w:hAnsi="Times New Roman" w:eastAsia="仿宋_GB2312" w:cs="Times New Roman"/>
                <w:sz w:val="24"/>
                <w:lang w:val="en-US" w:eastAsia="zh-CN"/>
              </w:rPr>
              <w:t>中小</w:t>
            </w:r>
            <w:r>
              <w:rPr>
                <w:rFonts w:hint="eastAsia" w:ascii="Times New Roman" w:hAnsi="Times New Roman" w:eastAsia="仿宋_GB2312" w:cs="Times New Roman"/>
                <w:sz w:val="24"/>
              </w:rPr>
              <w:t>企业</w:t>
            </w:r>
            <w:r>
              <w:rPr>
                <w:rFonts w:ascii="Times New Roman" w:hAnsi="Times New Roman" w:eastAsia="仿宋_GB2312" w:cs="Times New Roman"/>
                <w:sz w:val="24"/>
              </w:rPr>
              <w:t>（</w:t>
            </w:r>
            <w:r>
              <w:rPr>
                <w:rFonts w:hint="eastAsia" w:ascii="Times New Roman" w:hAnsi="Times New Roman" w:eastAsia="仿宋_GB2312" w:cs="Times New Roman"/>
                <w:sz w:val="24"/>
              </w:rPr>
              <w:t>家</w:t>
            </w:r>
            <w:r>
              <w:rPr>
                <w:rFonts w:ascii="Times New Roman" w:hAnsi="Times New Roman" w:eastAsia="仿宋_GB2312" w:cs="Times New Roman"/>
                <w:sz w:val="24"/>
              </w:rPr>
              <w:t>）</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43DAE21A">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205</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2E70B172">
            <w:pPr>
              <w:widowControl/>
              <w:adjustRightInd w:val="0"/>
              <w:jc w:val="center"/>
              <w:rPr>
                <w:rFonts w:hint="default" w:ascii="Times New Roman" w:hAnsi="Times New Roman" w:eastAsia="仿宋_GB2312" w:cs="Times New Roman"/>
                <w:kern w:val="0"/>
                <w:sz w:val="24"/>
                <w:lang w:val="en-US" w:eastAsia="zh-CN"/>
              </w:rPr>
            </w:pPr>
            <w:r>
              <w:rPr>
                <w:rFonts w:hint="eastAsia" w:ascii="Times New Roman" w:hAnsi="Times New Roman" w:eastAsia="仿宋_GB2312" w:cs="Times New Roman"/>
                <w:kern w:val="0"/>
                <w:sz w:val="24"/>
                <w:lang w:val="en-US" w:eastAsia="zh-CN"/>
              </w:rPr>
              <w:t>355</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6E565D55">
            <w:pPr>
              <w:widowControl/>
              <w:adjustRightInd w:val="0"/>
              <w:jc w:val="center"/>
              <w:rPr>
                <w:rFonts w:hint="default"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lang w:val="en-US" w:eastAsia="zh-CN"/>
              </w:rPr>
              <w:t>累计</w:t>
            </w:r>
          </w:p>
        </w:tc>
      </w:tr>
      <w:tr w14:paraId="6C06E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08" w:hRule="atLeast"/>
          <w:jc w:val="center"/>
        </w:trPr>
        <w:tc>
          <w:tcPr>
            <w:tcW w:w="654" w:type="dxa"/>
            <w:tcBorders>
              <w:top w:val="single" w:color="auto" w:sz="4" w:space="0"/>
              <w:left w:val="single" w:color="auto" w:sz="4" w:space="0"/>
              <w:right w:val="single" w:color="auto" w:sz="4" w:space="0"/>
            </w:tcBorders>
            <w:shd w:val="clear" w:color="auto" w:fill="FFFFFF"/>
            <w:vAlign w:val="center"/>
          </w:tcPr>
          <w:p w14:paraId="75272DE5">
            <w:pPr>
              <w:widowControl/>
              <w:jc w:val="center"/>
              <w:rPr>
                <w:rFonts w:ascii="Times New Roman" w:hAnsi="Times New Roman" w:eastAsia="仿宋_GB2312" w:cs="Times New Roman"/>
                <w:sz w:val="24"/>
              </w:rPr>
            </w:pPr>
            <w:r>
              <w:rPr>
                <w:rFonts w:hint="eastAsia" w:ascii="Times New Roman" w:hAnsi="Times New Roman" w:eastAsia="仿宋_GB2312" w:cs="Times New Roman"/>
                <w:sz w:val="24"/>
              </w:rPr>
              <w:t>8</w:t>
            </w:r>
          </w:p>
        </w:tc>
        <w:tc>
          <w:tcPr>
            <w:tcW w:w="666" w:type="dxa"/>
            <w:vMerge w:val="continue"/>
            <w:tcBorders>
              <w:left w:val="single" w:color="auto" w:sz="4" w:space="0"/>
              <w:right w:val="single" w:color="auto" w:sz="4" w:space="0"/>
            </w:tcBorders>
            <w:shd w:val="clear" w:color="auto" w:fill="FFFFFF"/>
            <w:vAlign w:val="center"/>
          </w:tcPr>
          <w:p w14:paraId="467079C5">
            <w:pPr>
              <w:adjustRightInd w:val="0"/>
              <w:jc w:val="center"/>
              <w:rPr>
                <w:rFonts w:ascii="Times New Roman" w:hAnsi="Times New Roman" w:eastAsia="仿宋_GB2312" w:cs="Times New Roman"/>
                <w:sz w:val="24"/>
              </w:rPr>
            </w:pPr>
          </w:p>
        </w:tc>
        <w:tc>
          <w:tcPr>
            <w:tcW w:w="3922" w:type="dxa"/>
            <w:tcBorders>
              <w:top w:val="single" w:color="auto" w:sz="4" w:space="0"/>
              <w:left w:val="single" w:color="auto" w:sz="4" w:space="0"/>
              <w:right w:val="single" w:color="000000" w:sz="4" w:space="0"/>
            </w:tcBorders>
            <w:shd w:val="clear" w:color="auto" w:fill="FFFFFF"/>
            <w:vAlign w:val="center"/>
          </w:tcPr>
          <w:p w14:paraId="64682847">
            <w:pPr>
              <w:widowControl/>
              <w:adjustRightInd w:val="0"/>
              <w:jc w:val="center"/>
              <w:rPr>
                <w:rFonts w:ascii="Times New Roman" w:hAnsi="Times New Roman" w:eastAsia="仿宋_GB2312" w:cs="Times New Roman"/>
                <w:sz w:val="24"/>
              </w:rPr>
            </w:pPr>
            <w:r>
              <w:rPr>
                <w:rFonts w:hint="eastAsia" w:ascii="Times New Roman" w:hAnsi="Times New Roman" w:eastAsia="仿宋_GB2312" w:cs="Times New Roman"/>
                <w:sz w:val="24"/>
              </w:rPr>
              <w:t>国家级专精特新“小巨人”</w:t>
            </w:r>
            <w:r>
              <w:rPr>
                <w:rFonts w:ascii="Times New Roman" w:hAnsi="Times New Roman" w:eastAsia="仿宋_GB2312" w:cs="Times New Roman"/>
                <w:sz w:val="24"/>
              </w:rPr>
              <w:t>（</w:t>
            </w:r>
            <w:r>
              <w:rPr>
                <w:rFonts w:hint="eastAsia" w:ascii="Times New Roman" w:hAnsi="Times New Roman" w:eastAsia="仿宋_GB2312" w:cs="Times New Roman"/>
                <w:sz w:val="24"/>
              </w:rPr>
              <w:t>家</w:t>
            </w:r>
            <w:r>
              <w:rPr>
                <w:rFonts w:ascii="Times New Roman" w:hAnsi="Times New Roman" w:eastAsia="仿宋_GB2312" w:cs="Times New Roman"/>
                <w:sz w:val="24"/>
              </w:rPr>
              <w:t>）</w:t>
            </w:r>
          </w:p>
        </w:tc>
        <w:tc>
          <w:tcPr>
            <w:tcW w:w="1128" w:type="dxa"/>
            <w:tcBorders>
              <w:top w:val="single" w:color="000000" w:sz="4" w:space="0"/>
              <w:left w:val="nil"/>
              <w:right w:val="single" w:color="000000" w:sz="4" w:space="0"/>
            </w:tcBorders>
            <w:shd w:val="clear" w:color="auto" w:fill="FFFFFF"/>
            <w:vAlign w:val="center"/>
          </w:tcPr>
          <w:p w14:paraId="64E04475">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6</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2DAC5CE0">
            <w:pPr>
              <w:widowControl/>
              <w:adjustRightInd w:val="0"/>
              <w:jc w:val="center"/>
              <w:rPr>
                <w:rFonts w:hint="default" w:ascii="Times New Roman" w:hAnsi="Times New Roman" w:eastAsia="仿宋_GB2312" w:cs="Times New Roman"/>
                <w:kern w:val="0"/>
                <w:sz w:val="24"/>
                <w:lang w:val="en-US" w:eastAsia="zh-CN"/>
              </w:rPr>
            </w:pPr>
            <w:r>
              <w:rPr>
                <w:rFonts w:hint="eastAsia" w:ascii="Times New Roman" w:hAnsi="Times New Roman" w:eastAsia="仿宋_GB2312" w:cs="Times New Roman"/>
                <w:kern w:val="0"/>
                <w:sz w:val="24"/>
                <w:lang w:val="en-US" w:eastAsia="zh-CN"/>
              </w:rPr>
              <w:t>21以上</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461A0219">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lang w:val="en-US" w:eastAsia="zh-CN"/>
              </w:rPr>
              <w:t>累计</w:t>
            </w:r>
          </w:p>
        </w:tc>
      </w:tr>
      <w:tr w14:paraId="65345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54" w:type="dxa"/>
            <w:tcBorders>
              <w:top w:val="single" w:color="auto" w:sz="4" w:space="0"/>
              <w:left w:val="single" w:color="auto" w:sz="4" w:space="0"/>
              <w:right w:val="single" w:color="auto" w:sz="4" w:space="0"/>
            </w:tcBorders>
            <w:shd w:val="clear" w:color="auto" w:fill="FFFFFF"/>
            <w:vAlign w:val="center"/>
          </w:tcPr>
          <w:p w14:paraId="15ECC5D2">
            <w:pPr>
              <w:widowControl/>
              <w:adjustRightInd w:val="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rPr>
              <w:t>9</w:t>
            </w:r>
          </w:p>
        </w:tc>
        <w:tc>
          <w:tcPr>
            <w:tcW w:w="666" w:type="dxa"/>
            <w:vMerge w:val="continue"/>
            <w:tcBorders>
              <w:left w:val="single" w:color="auto" w:sz="4" w:space="0"/>
              <w:right w:val="single" w:color="auto" w:sz="4" w:space="0"/>
            </w:tcBorders>
            <w:shd w:val="clear" w:color="auto" w:fill="FFFFFF"/>
            <w:vAlign w:val="center"/>
          </w:tcPr>
          <w:p w14:paraId="66E39CAB">
            <w:pPr>
              <w:adjustRightInd w:val="0"/>
              <w:jc w:val="center"/>
              <w:rPr>
                <w:rFonts w:ascii="Times New Roman" w:hAnsi="Times New Roman" w:eastAsia="仿宋_GB2312" w:cs="Times New Roman"/>
                <w:sz w:val="24"/>
              </w:rPr>
            </w:pPr>
          </w:p>
        </w:tc>
        <w:tc>
          <w:tcPr>
            <w:tcW w:w="3922" w:type="dxa"/>
            <w:tcBorders>
              <w:top w:val="single" w:color="auto" w:sz="4" w:space="0"/>
              <w:left w:val="single" w:color="auto" w:sz="4" w:space="0"/>
              <w:right w:val="single" w:color="000000" w:sz="4" w:space="0"/>
            </w:tcBorders>
            <w:shd w:val="clear" w:color="auto" w:fill="FFFFFF"/>
            <w:vAlign w:val="center"/>
          </w:tcPr>
          <w:p w14:paraId="5F42FC0E">
            <w:pPr>
              <w:widowControl/>
              <w:adjustRightInd w:val="0"/>
              <w:jc w:val="center"/>
              <w:rPr>
                <w:rFonts w:hint="eastAsia" w:ascii="Times New Roman" w:hAnsi="Times New Roman" w:eastAsia="仿宋_GB2312" w:cs="Times New Roman"/>
                <w:kern w:val="2"/>
                <w:sz w:val="24"/>
                <w:szCs w:val="24"/>
                <w:lang w:val="en-US" w:eastAsia="zh-CN" w:bidi="ar-SA"/>
              </w:rPr>
            </w:pPr>
            <w:r>
              <w:rPr>
                <w:rFonts w:ascii="Times New Roman" w:hAnsi="Times New Roman" w:eastAsia="仿宋_GB2312" w:cs="Times New Roman"/>
                <w:sz w:val="24"/>
              </w:rPr>
              <w:t>“首台套”“首批次”“首版次”（个）</w:t>
            </w:r>
          </w:p>
        </w:tc>
        <w:tc>
          <w:tcPr>
            <w:tcW w:w="1128" w:type="dxa"/>
            <w:tcBorders>
              <w:top w:val="single" w:color="000000" w:sz="4" w:space="0"/>
              <w:left w:val="nil"/>
              <w:right w:val="single" w:color="000000" w:sz="4" w:space="0"/>
            </w:tcBorders>
            <w:shd w:val="clear" w:color="auto" w:fill="FFFFFF"/>
            <w:vAlign w:val="center"/>
          </w:tcPr>
          <w:p w14:paraId="03FF1981">
            <w:pPr>
              <w:widowControl/>
              <w:adjustRightInd w:val="0"/>
              <w:jc w:val="center"/>
              <w:rPr>
                <w:rFonts w:hint="eastAsia"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rPr>
              <w:t>17</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4EAF1145">
            <w:pPr>
              <w:widowControl/>
              <w:adjustRightInd w:val="0"/>
              <w:jc w:val="center"/>
              <w:rPr>
                <w:rFonts w:hint="default"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lang w:val="en-US" w:eastAsia="zh-CN"/>
              </w:rPr>
              <w:t>45</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183FBB28">
            <w:pPr>
              <w:widowControl/>
              <w:adjustRightInd w:val="0"/>
              <w:jc w:val="center"/>
              <w:rPr>
                <w:rFonts w:hint="eastAsia"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lang w:val="en-US" w:eastAsia="zh-CN"/>
              </w:rPr>
              <w:t>累计</w:t>
            </w:r>
            <w:r>
              <w:rPr>
                <w:rFonts w:hint="eastAsia" w:ascii="Times New Roman" w:hAnsi="Times New Roman" w:eastAsia="仿宋_GB2312" w:cs="Times New Roman"/>
                <w:kern w:val="0"/>
                <w:sz w:val="24"/>
                <w:lang w:eastAsia="zh-CN"/>
              </w:rPr>
              <w:t>新增</w:t>
            </w:r>
          </w:p>
        </w:tc>
      </w:tr>
      <w:tr w14:paraId="7CFFE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4" w:type="dxa"/>
            <w:tcBorders>
              <w:top w:val="nil"/>
              <w:left w:val="single" w:color="auto" w:sz="4" w:space="0"/>
              <w:bottom w:val="single" w:color="auto" w:sz="4" w:space="0"/>
              <w:right w:val="single" w:color="auto" w:sz="4" w:space="0"/>
            </w:tcBorders>
            <w:shd w:val="clear" w:color="auto" w:fill="FFFFFF"/>
            <w:vAlign w:val="center"/>
          </w:tcPr>
          <w:p w14:paraId="51A271BC">
            <w:pPr>
              <w:widowControl/>
              <w:adjustRightInd w:val="0"/>
              <w:jc w:val="center"/>
              <w:rPr>
                <w:rFonts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rPr>
              <w:t>10</w:t>
            </w:r>
          </w:p>
        </w:tc>
        <w:tc>
          <w:tcPr>
            <w:tcW w:w="666" w:type="dxa"/>
            <w:vMerge w:val="continue"/>
            <w:tcBorders>
              <w:left w:val="single" w:color="auto" w:sz="4" w:space="0"/>
              <w:bottom w:val="single" w:color="auto" w:sz="4" w:space="0"/>
              <w:right w:val="single" w:color="auto" w:sz="4" w:space="0"/>
            </w:tcBorders>
            <w:shd w:val="clear" w:color="auto" w:fill="FFFFFF"/>
            <w:vAlign w:val="center"/>
          </w:tcPr>
          <w:p w14:paraId="5E730141">
            <w:pPr>
              <w:adjustRightInd w:val="0"/>
              <w:jc w:val="center"/>
              <w:rPr>
                <w:rFonts w:ascii="Times New Roman" w:hAnsi="Times New Roman" w:eastAsia="仿宋_GB2312" w:cs="Times New Roman"/>
                <w:sz w:val="24"/>
              </w:rPr>
            </w:pPr>
          </w:p>
        </w:tc>
        <w:tc>
          <w:tcPr>
            <w:tcW w:w="3922" w:type="dxa"/>
            <w:tcBorders>
              <w:top w:val="single" w:color="auto" w:sz="4" w:space="0"/>
              <w:left w:val="single" w:color="auto" w:sz="4" w:space="0"/>
              <w:bottom w:val="single" w:color="auto" w:sz="4" w:space="0"/>
              <w:right w:val="single" w:color="auto" w:sz="4" w:space="0"/>
            </w:tcBorders>
            <w:shd w:val="clear" w:color="auto" w:fill="FFFFFF"/>
            <w:vAlign w:val="center"/>
          </w:tcPr>
          <w:p w14:paraId="4F33656D">
            <w:pPr>
              <w:widowControl/>
              <w:adjustRightInd w:val="0"/>
              <w:jc w:val="center"/>
              <w:rPr>
                <w:rFonts w:ascii="Times New Roman" w:hAnsi="Times New Roman" w:eastAsia="仿宋_GB2312" w:cs="Times New Roman"/>
                <w:sz w:val="24"/>
              </w:rPr>
            </w:pPr>
            <w:r>
              <w:rPr>
                <w:rFonts w:ascii="Times New Roman" w:hAnsi="Times New Roman" w:eastAsia="仿宋_GB2312" w:cs="Times New Roman"/>
                <w:sz w:val="24"/>
              </w:rPr>
              <w:t>规上工业企业R&amp;D经费支出占GDP比重（%）</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423D4E97">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0</w:t>
            </w:r>
            <w:r>
              <w:rPr>
                <w:rFonts w:ascii="Times New Roman" w:hAnsi="Times New Roman" w:eastAsia="仿宋_GB2312" w:cs="Times New Roman"/>
                <w:kern w:val="0"/>
                <w:sz w:val="24"/>
              </w:rPr>
              <w:t>.86</w:t>
            </w:r>
            <w:r>
              <w:rPr>
                <w:rFonts w:hint="eastAsia" w:ascii="Times New Roman" w:hAnsi="Times New Roman" w:eastAsia="仿宋_GB2312" w:cs="Times New Roman"/>
                <w:kern w:val="0"/>
                <w:sz w:val="24"/>
              </w:rPr>
              <w:t>（2</w:t>
            </w:r>
            <w:r>
              <w:rPr>
                <w:rFonts w:ascii="Times New Roman" w:hAnsi="Times New Roman" w:eastAsia="仿宋_GB2312" w:cs="Times New Roman"/>
                <w:kern w:val="0"/>
                <w:sz w:val="24"/>
              </w:rPr>
              <w:t>019</w:t>
            </w:r>
            <w:r>
              <w:rPr>
                <w:rFonts w:hint="eastAsia" w:ascii="Times New Roman" w:hAnsi="Times New Roman" w:eastAsia="仿宋_GB2312" w:cs="Times New Roman"/>
                <w:kern w:val="0"/>
                <w:sz w:val="24"/>
              </w:rPr>
              <w:t>年数据）</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716C6EDD">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1.72</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3F6890C1">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w:t>
            </w:r>
          </w:p>
        </w:tc>
      </w:tr>
      <w:tr w14:paraId="75D10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4" w:type="dxa"/>
            <w:tcBorders>
              <w:top w:val="single" w:color="auto" w:sz="4" w:space="0"/>
              <w:left w:val="single" w:color="auto" w:sz="4" w:space="0"/>
              <w:bottom w:val="single" w:color="auto" w:sz="4" w:space="0"/>
              <w:right w:val="single" w:color="auto" w:sz="4" w:space="0"/>
            </w:tcBorders>
            <w:shd w:val="clear" w:color="auto" w:fill="FFFFFF"/>
            <w:vAlign w:val="center"/>
          </w:tcPr>
          <w:p w14:paraId="0CA3C524">
            <w:pPr>
              <w:widowControl/>
              <w:adjustRightInd w:val="0"/>
              <w:jc w:val="center"/>
              <w:rPr>
                <w:rFonts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rPr>
              <w:t>11</w:t>
            </w:r>
          </w:p>
        </w:tc>
        <w:tc>
          <w:tcPr>
            <w:tcW w:w="6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08127EA0">
            <w:pPr>
              <w:adjustRightInd w:val="0"/>
              <w:jc w:val="center"/>
              <w:rPr>
                <w:rFonts w:hint="eastAsia" w:ascii="Times New Roman" w:hAnsi="Times New Roman" w:eastAsia="仿宋_GB2312" w:cs="Times New Roman"/>
                <w:sz w:val="24"/>
                <w:lang w:eastAsia="zh-CN"/>
              </w:rPr>
            </w:pPr>
            <w:r>
              <w:rPr>
                <w:rFonts w:hint="eastAsia" w:ascii="Times New Roman" w:hAnsi="Times New Roman" w:eastAsia="仿宋_GB2312" w:cs="Times New Roman"/>
                <w:sz w:val="24"/>
                <w:lang w:eastAsia="zh-CN"/>
              </w:rPr>
              <w:t>融合发展</w:t>
            </w:r>
          </w:p>
        </w:tc>
        <w:tc>
          <w:tcPr>
            <w:tcW w:w="3922" w:type="dxa"/>
            <w:tcBorders>
              <w:top w:val="single" w:color="auto" w:sz="4" w:space="0"/>
              <w:left w:val="single" w:color="auto" w:sz="4" w:space="0"/>
              <w:bottom w:val="single" w:color="auto" w:sz="4" w:space="0"/>
              <w:right w:val="single" w:color="auto" w:sz="4" w:space="0"/>
            </w:tcBorders>
            <w:shd w:val="clear" w:color="auto" w:fill="FFFFFF"/>
            <w:vAlign w:val="center"/>
          </w:tcPr>
          <w:p w14:paraId="1E57C82C">
            <w:pPr>
              <w:widowControl/>
              <w:adjustRightInd w:val="0"/>
              <w:jc w:val="center"/>
              <w:rPr>
                <w:rFonts w:ascii="Times New Roman" w:hAnsi="Times New Roman" w:eastAsia="仿宋_GB2312" w:cs="Times New Roman"/>
                <w:sz w:val="24"/>
              </w:rPr>
            </w:pPr>
            <w:r>
              <w:rPr>
                <w:rFonts w:hint="eastAsia" w:ascii="仿宋_GB2312" w:hAnsi="宋体" w:eastAsia="仿宋_GB2312"/>
                <w:sz w:val="24"/>
              </w:rPr>
              <w:t>两化融合指数</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11368CA1">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9</w:t>
            </w:r>
            <w:r>
              <w:rPr>
                <w:rFonts w:ascii="Times New Roman" w:hAnsi="Times New Roman" w:eastAsia="仿宋_GB2312" w:cs="Times New Roman"/>
                <w:kern w:val="0"/>
                <w:sz w:val="24"/>
              </w:rPr>
              <w:t>2.6</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4976BD23">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超省平均水平</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66A40911">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w:t>
            </w:r>
          </w:p>
        </w:tc>
      </w:tr>
      <w:tr w14:paraId="2F578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4" w:type="dxa"/>
            <w:tcBorders>
              <w:top w:val="single" w:color="auto" w:sz="4" w:space="0"/>
              <w:left w:val="single" w:color="auto" w:sz="4" w:space="0"/>
              <w:bottom w:val="single" w:color="000000" w:sz="4" w:space="0"/>
              <w:right w:val="single" w:color="auto" w:sz="4" w:space="0"/>
            </w:tcBorders>
            <w:shd w:val="clear" w:color="auto" w:fill="FFFFFF"/>
            <w:vAlign w:val="center"/>
          </w:tcPr>
          <w:p w14:paraId="3358FD4A">
            <w:pPr>
              <w:widowControl/>
              <w:adjustRightInd w:val="0"/>
              <w:jc w:val="center"/>
              <w:rPr>
                <w:rFonts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rPr>
              <w:t>12</w:t>
            </w:r>
          </w:p>
        </w:tc>
        <w:tc>
          <w:tcPr>
            <w:tcW w:w="666" w:type="dxa"/>
            <w:vMerge w:val="continue"/>
            <w:tcBorders>
              <w:top w:val="single" w:color="auto" w:sz="4" w:space="0"/>
              <w:left w:val="single" w:color="auto" w:sz="4" w:space="0"/>
              <w:right w:val="single" w:color="auto" w:sz="4" w:space="0"/>
            </w:tcBorders>
            <w:shd w:val="clear" w:color="auto" w:fill="FFFFFF"/>
            <w:vAlign w:val="center"/>
          </w:tcPr>
          <w:p w14:paraId="7D1B224F">
            <w:pPr>
              <w:adjustRightInd w:val="0"/>
              <w:jc w:val="center"/>
              <w:rPr>
                <w:rFonts w:ascii="Times New Roman" w:hAnsi="Times New Roman" w:eastAsia="仿宋_GB2312" w:cs="Times New Roman"/>
                <w:sz w:val="24"/>
              </w:rPr>
            </w:pPr>
          </w:p>
        </w:tc>
        <w:tc>
          <w:tcPr>
            <w:tcW w:w="3922" w:type="dxa"/>
            <w:tcBorders>
              <w:top w:val="single" w:color="auto" w:sz="4" w:space="0"/>
              <w:left w:val="single" w:color="000000" w:sz="4" w:space="0"/>
              <w:bottom w:val="single" w:color="000000" w:sz="4" w:space="0"/>
              <w:right w:val="single" w:color="auto" w:sz="4" w:space="0"/>
            </w:tcBorders>
            <w:shd w:val="clear" w:color="auto" w:fill="FFFFFF"/>
            <w:vAlign w:val="center"/>
          </w:tcPr>
          <w:p w14:paraId="3098B0BA">
            <w:pPr>
              <w:widowControl/>
              <w:adjustRightInd w:val="0"/>
              <w:jc w:val="center"/>
              <w:rPr>
                <w:rFonts w:ascii="Times New Roman" w:hAnsi="Times New Roman" w:eastAsia="仿宋_GB2312" w:cs="Times New Roman"/>
                <w:sz w:val="24"/>
              </w:rPr>
            </w:pPr>
            <w:r>
              <w:rPr>
                <w:rFonts w:hint="eastAsia" w:ascii="Times New Roman" w:hAnsi="Times New Roman" w:eastAsia="仿宋_GB2312" w:cs="Times New Roman"/>
                <w:sz w:val="24"/>
              </w:rPr>
              <w:t>省级</w:t>
            </w:r>
            <w:r>
              <w:rPr>
                <w:rFonts w:ascii="Times New Roman" w:hAnsi="Times New Roman" w:eastAsia="仿宋_GB2312" w:cs="Times New Roman"/>
                <w:sz w:val="24"/>
              </w:rPr>
              <w:t>智能工厂</w:t>
            </w:r>
            <w:r>
              <w:rPr>
                <w:rFonts w:hint="eastAsia" w:ascii="Times New Roman" w:hAnsi="Times New Roman" w:eastAsia="仿宋_GB2312" w:cs="Times New Roman"/>
                <w:sz w:val="24"/>
              </w:rPr>
              <w:t>、数字化车间</w:t>
            </w:r>
            <w:r>
              <w:rPr>
                <w:rFonts w:ascii="Times New Roman" w:hAnsi="Times New Roman" w:eastAsia="仿宋_GB2312" w:cs="Times New Roman"/>
                <w:sz w:val="24"/>
              </w:rPr>
              <w:t>（</w:t>
            </w:r>
            <w:r>
              <w:rPr>
                <w:rFonts w:hint="eastAsia" w:ascii="Times New Roman" w:hAnsi="Times New Roman" w:eastAsia="仿宋_GB2312" w:cs="Times New Roman"/>
                <w:sz w:val="24"/>
              </w:rPr>
              <w:t>家</w:t>
            </w:r>
            <w:r>
              <w:rPr>
                <w:rFonts w:ascii="Times New Roman" w:hAnsi="Times New Roman" w:eastAsia="仿宋_GB2312" w:cs="Times New Roman"/>
                <w:sz w:val="24"/>
              </w:rPr>
              <w:t>）</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7EEA4297">
            <w:pPr>
              <w:widowControl/>
              <w:adjustRightInd w:val="0"/>
              <w:jc w:val="center"/>
              <w:rPr>
                <w:rFonts w:hint="eastAsia" w:ascii="Times New Roman" w:hAnsi="Times New Roman" w:eastAsia="仿宋_GB2312" w:cs="Times New Roman"/>
                <w:kern w:val="0"/>
                <w:sz w:val="24"/>
                <w:lang w:eastAsia="zh-CN"/>
              </w:rPr>
            </w:pPr>
            <w:r>
              <w:rPr>
                <w:rFonts w:hint="eastAsia" w:ascii="Times New Roman" w:hAnsi="Times New Roman" w:eastAsia="仿宋_GB2312" w:cs="Times New Roman"/>
                <w:kern w:val="0"/>
                <w:sz w:val="24"/>
              </w:rPr>
              <w:t>2</w:t>
            </w:r>
            <w:r>
              <w:rPr>
                <w:rFonts w:hint="eastAsia" w:ascii="Times New Roman" w:hAnsi="Times New Roman" w:eastAsia="仿宋_GB2312" w:cs="Times New Roman"/>
                <w:kern w:val="0"/>
                <w:sz w:val="24"/>
                <w:lang w:val="en-US" w:eastAsia="zh-CN"/>
              </w:rPr>
              <w:t>6</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4A1E24AA">
            <w:pPr>
              <w:widowControl/>
              <w:adjustRightInd w:val="0"/>
              <w:jc w:val="center"/>
              <w:rPr>
                <w:rFonts w:hint="default" w:ascii="Times New Roman" w:hAnsi="Times New Roman" w:eastAsia="仿宋_GB2312" w:cs="Times New Roman"/>
                <w:kern w:val="0"/>
                <w:sz w:val="24"/>
                <w:lang w:val="en-US" w:eastAsia="zh-CN"/>
              </w:rPr>
            </w:pPr>
            <w:r>
              <w:rPr>
                <w:rFonts w:hint="eastAsia" w:ascii="Times New Roman" w:hAnsi="Times New Roman" w:eastAsia="仿宋_GB2312" w:cs="Times New Roman"/>
                <w:kern w:val="0"/>
                <w:sz w:val="24"/>
                <w:lang w:val="en-US" w:eastAsia="zh-CN"/>
              </w:rPr>
              <w:t>50以上</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78D4801B">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lang w:val="en-US" w:eastAsia="zh-CN"/>
              </w:rPr>
              <w:t>累计</w:t>
            </w:r>
          </w:p>
        </w:tc>
      </w:tr>
      <w:tr w14:paraId="42EBE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4" w:type="dxa"/>
            <w:tcBorders>
              <w:top w:val="single" w:color="000000" w:sz="4" w:space="0"/>
              <w:left w:val="single" w:color="auto" w:sz="4" w:space="0"/>
              <w:bottom w:val="single" w:color="000000" w:sz="4" w:space="0"/>
              <w:right w:val="single" w:color="auto" w:sz="4" w:space="0"/>
            </w:tcBorders>
            <w:shd w:val="clear" w:color="auto" w:fill="FFFFFF"/>
            <w:vAlign w:val="center"/>
          </w:tcPr>
          <w:p w14:paraId="6ED3E505">
            <w:pPr>
              <w:widowControl/>
              <w:adjustRightInd w:val="0"/>
              <w:jc w:val="center"/>
              <w:rPr>
                <w:rFonts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rPr>
              <w:t>13</w:t>
            </w:r>
          </w:p>
        </w:tc>
        <w:tc>
          <w:tcPr>
            <w:tcW w:w="666" w:type="dxa"/>
            <w:vMerge w:val="continue"/>
            <w:tcBorders>
              <w:left w:val="single" w:color="auto" w:sz="4" w:space="0"/>
              <w:right w:val="single" w:color="auto" w:sz="4" w:space="0"/>
            </w:tcBorders>
            <w:shd w:val="clear" w:color="auto" w:fill="FFFFFF"/>
            <w:vAlign w:val="center"/>
          </w:tcPr>
          <w:p w14:paraId="67EE2FA4">
            <w:pPr>
              <w:adjustRightInd w:val="0"/>
              <w:jc w:val="center"/>
              <w:rPr>
                <w:rFonts w:ascii="Times New Roman" w:hAnsi="Times New Roman" w:eastAsia="仿宋_GB2312" w:cs="Times New Roman"/>
                <w:sz w:val="24"/>
              </w:rPr>
            </w:pPr>
          </w:p>
        </w:tc>
        <w:tc>
          <w:tcPr>
            <w:tcW w:w="3922" w:type="dxa"/>
            <w:tcBorders>
              <w:top w:val="single" w:color="000000" w:sz="4" w:space="0"/>
              <w:left w:val="single" w:color="000000" w:sz="4" w:space="0"/>
              <w:bottom w:val="single" w:color="000000" w:sz="4" w:space="0"/>
              <w:right w:val="single" w:color="auto" w:sz="4" w:space="0"/>
            </w:tcBorders>
            <w:shd w:val="clear" w:color="auto" w:fill="FFFFFF"/>
            <w:vAlign w:val="center"/>
          </w:tcPr>
          <w:p w14:paraId="1FC0D410">
            <w:pPr>
              <w:widowControl/>
              <w:adjustRightInd w:val="0"/>
              <w:jc w:val="center"/>
              <w:rPr>
                <w:rFonts w:ascii="Times New Roman" w:hAnsi="Times New Roman" w:eastAsia="仿宋_GB2312" w:cs="Times New Roman"/>
                <w:sz w:val="24"/>
              </w:rPr>
            </w:pPr>
            <w:r>
              <w:rPr>
                <w:rFonts w:hint="eastAsia" w:ascii="Times New Roman" w:hAnsi="Times New Roman" w:eastAsia="仿宋_GB2312" w:cs="Times New Roman"/>
                <w:sz w:val="24"/>
              </w:rPr>
              <w:t>通过国家两化融合管理体系标准认证企业（家）</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5D10DF7C">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283</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53AF79C1">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380</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32AD0503">
            <w:pPr>
              <w:widowControl/>
              <w:adjustRightInd w:val="0"/>
              <w:jc w:val="center"/>
              <w:rPr>
                <w:rFonts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lang w:eastAsia="zh-CN"/>
              </w:rPr>
              <w:t>累计</w:t>
            </w:r>
          </w:p>
        </w:tc>
      </w:tr>
      <w:tr w14:paraId="42780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654" w:type="dxa"/>
            <w:tcBorders>
              <w:top w:val="single" w:color="000000" w:sz="4" w:space="0"/>
              <w:left w:val="single" w:color="auto" w:sz="4" w:space="0"/>
              <w:bottom w:val="single" w:color="000000" w:sz="4" w:space="0"/>
              <w:right w:val="single" w:color="auto" w:sz="4" w:space="0"/>
            </w:tcBorders>
            <w:shd w:val="clear" w:color="auto" w:fill="FFFFFF"/>
            <w:vAlign w:val="center"/>
          </w:tcPr>
          <w:p w14:paraId="20E0F6D4">
            <w:pPr>
              <w:widowControl/>
              <w:adjustRightInd w:val="0"/>
              <w:jc w:val="center"/>
              <w:rPr>
                <w:rFonts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rPr>
              <w:t>14</w:t>
            </w:r>
          </w:p>
        </w:tc>
        <w:tc>
          <w:tcPr>
            <w:tcW w:w="666" w:type="dxa"/>
            <w:vMerge w:val="continue"/>
            <w:tcBorders>
              <w:left w:val="single" w:color="auto" w:sz="4" w:space="0"/>
              <w:right w:val="single" w:color="auto" w:sz="4" w:space="0"/>
            </w:tcBorders>
            <w:shd w:val="clear" w:color="auto" w:fill="FFFFFF"/>
            <w:vAlign w:val="center"/>
          </w:tcPr>
          <w:p w14:paraId="2A5CFD2F">
            <w:pPr>
              <w:adjustRightInd w:val="0"/>
              <w:jc w:val="center"/>
              <w:rPr>
                <w:rFonts w:ascii="Times New Roman" w:hAnsi="Times New Roman" w:eastAsia="仿宋_GB2312" w:cs="Times New Roman"/>
                <w:sz w:val="24"/>
              </w:rPr>
            </w:pPr>
          </w:p>
        </w:tc>
        <w:tc>
          <w:tcPr>
            <w:tcW w:w="3922" w:type="dxa"/>
            <w:tcBorders>
              <w:top w:val="single" w:color="000000" w:sz="4" w:space="0"/>
              <w:left w:val="single" w:color="000000" w:sz="4" w:space="0"/>
              <w:bottom w:val="single" w:color="000000" w:sz="4" w:space="0"/>
              <w:right w:val="single" w:color="auto" w:sz="4" w:space="0"/>
            </w:tcBorders>
            <w:shd w:val="clear" w:color="auto" w:fill="FFFFFF"/>
            <w:vAlign w:val="center"/>
          </w:tcPr>
          <w:p w14:paraId="5C5B72B6">
            <w:pPr>
              <w:widowControl/>
              <w:adjustRightInd w:val="0"/>
              <w:jc w:val="center"/>
              <w:rPr>
                <w:rFonts w:ascii="Times New Roman" w:hAnsi="Times New Roman" w:eastAsia="仿宋_GB2312" w:cs="Times New Roman"/>
                <w:sz w:val="24"/>
              </w:rPr>
            </w:pPr>
            <w:r>
              <w:rPr>
                <w:rFonts w:hint="eastAsia" w:ascii="仿宋_GB2312" w:hAnsi="宋体" w:eastAsia="仿宋_GB2312"/>
                <w:sz w:val="24"/>
              </w:rPr>
              <w:t>工业互联网平台数量</w:t>
            </w:r>
            <w:r>
              <w:rPr>
                <w:rFonts w:ascii="Times New Roman" w:hAnsi="Times New Roman" w:eastAsia="仿宋_GB2312" w:cs="Times New Roman"/>
                <w:sz w:val="24"/>
              </w:rPr>
              <w:t>（个）</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566F7E22">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1</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29EE029B">
            <w:pPr>
              <w:widowControl/>
              <w:adjustRightInd w:val="0"/>
              <w:jc w:val="center"/>
              <w:rPr>
                <w:rFonts w:hint="default" w:ascii="Times New Roman" w:hAnsi="Times New Roman" w:eastAsia="仿宋_GB2312" w:cs="Times New Roman"/>
                <w:kern w:val="0"/>
                <w:sz w:val="24"/>
                <w:lang w:val="en-US" w:eastAsia="zh-CN"/>
              </w:rPr>
            </w:pPr>
            <w:r>
              <w:rPr>
                <w:rFonts w:hint="eastAsia" w:ascii="Times New Roman" w:hAnsi="Times New Roman" w:eastAsia="仿宋_GB2312" w:cs="Times New Roman"/>
                <w:kern w:val="0"/>
                <w:sz w:val="24"/>
                <w:lang w:val="en-US" w:eastAsia="zh-CN"/>
              </w:rPr>
              <w:t>4以上</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05EDAED8">
            <w:pPr>
              <w:widowControl/>
              <w:adjustRightInd w:val="0"/>
              <w:jc w:val="center"/>
              <w:rPr>
                <w:rFonts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lang w:eastAsia="zh-CN"/>
              </w:rPr>
              <w:t>累计</w:t>
            </w:r>
          </w:p>
        </w:tc>
      </w:tr>
      <w:tr w14:paraId="483C3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654" w:type="dxa"/>
            <w:tcBorders>
              <w:top w:val="single" w:color="000000" w:sz="4" w:space="0"/>
              <w:left w:val="single" w:color="auto" w:sz="4" w:space="0"/>
              <w:bottom w:val="single" w:color="000000" w:sz="4" w:space="0"/>
              <w:right w:val="single" w:color="auto" w:sz="4" w:space="0"/>
            </w:tcBorders>
            <w:shd w:val="clear" w:color="auto" w:fill="FFFFFF"/>
            <w:vAlign w:val="center"/>
          </w:tcPr>
          <w:p w14:paraId="42D0410D">
            <w:pPr>
              <w:widowControl/>
              <w:adjustRightInd w:val="0"/>
              <w:jc w:val="center"/>
              <w:rPr>
                <w:rFonts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rPr>
              <w:t>15</w:t>
            </w:r>
          </w:p>
        </w:tc>
        <w:tc>
          <w:tcPr>
            <w:tcW w:w="666" w:type="dxa"/>
            <w:vMerge w:val="continue"/>
            <w:tcBorders>
              <w:left w:val="single" w:color="auto" w:sz="4" w:space="0"/>
              <w:right w:val="single" w:color="auto" w:sz="4" w:space="0"/>
            </w:tcBorders>
            <w:shd w:val="clear" w:color="auto" w:fill="FFFFFF"/>
            <w:vAlign w:val="center"/>
          </w:tcPr>
          <w:p w14:paraId="359236A3">
            <w:pPr>
              <w:adjustRightInd w:val="0"/>
              <w:jc w:val="center"/>
              <w:rPr>
                <w:rFonts w:ascii="Times New Roman" w:hAnsi="Times New Roman" w:eastAsia="仿宋_GB2312" w:cs="Times New Roman"/>
                <w:sz w:val="24"/>
              </w:rPr>
            </w:pPr>
          </w:p>
        </w:tc>
        <w:tc>
          <w:tcPr>
            <w:tcW w:w="3922" w:type="dxa"/>
            <w:tcBorders>
              <w:top w:val="single" w:color="000000" w:sz="4" w:space="0"/>
              <w:left w:val="single" w:color="000000" w:sz="4" w:space="0"/>
              <w:bottom w:val="single" w:color="000000" w:sz="4" w:space="0"/>
              <w:right w:val="single" w:color="auto" w:sz="4" w:space="0"/>
            </w:tcBorders>
            <w:shd w:val="clear" w:color="auto" w:fill="FFFFFF"/>
            <w:vAlign w:val="center"/>
          </w:tcPr>
          <w:p w14:paraId="078CCD77">
            <w:pPr>
              <w:widowControl/>
              <w:adjustRightInd w:val="0"/>
              <w:jc w:val="center"/>
              <w:rPr>
                <w:rFonts w:ascii="仿宋_GB2312" w:hAnsi="宋体" w:eastAsia="仿宋_GB2312"/>
                <w:sz w:val="24"/>
                <w:highlight w:val="none"/>
              </w:rPr>
            </w:pPr>
            <w:r>
              <w:rPr>
                <w:rFonts w:hint="eastAsia" w:ascii="仿宋_GB2312" w:hAnsi="宋体" w:eastAsia="仿宋_GB2312"/>
                <w:sz w:val="24"/>
                <w:highlight w:val="none"/>
              </w:rPr>
              <w:t>企业上云（家）</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7A7ED162">
            <w:pPr>
              <w:widowControl/>
              <w:adjustRightInd w:val="0"/>
              <w:jc w:val="center"/>
              <w:rPr>
                <w:rFonts w:ascii="Times New Roman" w:hAnsi="Times New Roman" w:eastAsia="仿宋_GB2312" w:cs="Times New Roman"/>
                <w:kern w:val="0"/>
                <w:sz w:val="24"/>
                <w:highlight w:val="none"/>
              </w:rPr>
            </w:pPr>
            <w:r>
              <w:rPr>
                <w:rFonts w:hint="eastAsia" w:ascii="Times New Roman" w:hAnsi="Times New Roman" w:eastAsia="仿宋_GB2312" w:cs="Times New Roman"/>
                <w:kern w:val="0"/>
                <w:sz w:val="24"/>
                <w:highlight w:val="none"/>
              </w:rPr>
              <w:t>≥300</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09F51F52">
            <w:pPr>
              <w:widowControl/>
              <w:adjustRightInd w:val="0"/>
              <w:jc w:val="center"/>
              <w:rPr>
                <w:rFonts w:ascii="Times New Roman" w:hAnsi="Times New Roman" w:eastAsia="仿宋_GB2312" w:cs="Times New Roman"/>
                <w:kern w:val="0"/>
                <w:sz w:val="24"/>
                <w:highlight w:val="none"/>
              </w:rPr>
            </w:pPr>
            <w:r>
              <w:rPr>
                <w:rFonts w:hint="eastAsia" w:ascii="宋体" w:hAnsi="宋体" w:eastAsia="宋体" w:cs="宋体"/>
                <w:kern w:val="0"/>
                <w:sz w:val="24"/>
                <w:highlight w:val="none"/>
              </w:rPr>
              <w:t>≧</w:t>
            </w:r>
            <w:r>
              <w:rPr>
                <w:rFonts w:hint="eastAsia" w:ascii="Times New Roman" w:hAnsi="Times New Roman" w:eastAsia="仿宋_GB2312" w:cs="Times New Roman"/>
                <w:kern w:val="0"/>
                <w:sz w:val="24"/>
                <w:highlight w:val="none"/>
              </w:rPr>
              <w:t>1000</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37653976">
            <w:pPr>
              <w:widowControl/>
              <w:adjustRightInd w:val="0"/>
              <w:jc w:val="center"/>
              <w:rPr>
                <w:rFonts w:hint="eastAsia"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lang w:eastAsia="zh-CN"/>
              </w:rPr>
              <w:t>累计</w:t>
            </w:r>
          </w:p>
        </w:tc>
      </w:tr>
      <w:tr w14:paraId="2DE38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54" w:type="dxa"/>
            <w:tcBorders>
              <w:top w:val="single" w:color="000000" w:sz="4" w:space="0"/>
              <w:left w:val="single" w:color="auto" w:sz="4" w:space="0"/>
              <w:bottom w:val="single" w:color="000000" w:sz="4" w:space="0"/>
              <w:right w:val="single" w:color="auto" w:sz="4" w:space="0"/>
            </w:tcBorders>
            <w:shd w:val="clear" w:color="auto" w:fill="FFFFFF"/>
            <w:vAlign w:val="center"/>
          </w:tcPr>
          <w:p w14:paraId="62D69C06">
            <w:pPr>
              <w:widowControl/>
              <w:adjustRightInd w:val="0"/>
              <w:jc w:val="center"/>
              <w:rPr>
                <w:rFonts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rPr>
              <w:t>16</w:t>
            </w:r>
          </w:p>
        </w:tc>
        <w:tc>
          <w:tcPr>
            <w:tcW w:w="666" w:type="dxa"/>
            <w:vMerge w:val="restart"/>
            <w:tcBorders>
              <w:left w:val="single" w:color="auto" w:sz="4" w:space="0"/>
              <w:right w:val="single" w:color="000000" w:sz="4" w:space="0"/>
            </w:tcBorders>
            <w:shd w:val="clear" w:color="auto" w:fill="FFFFFF"/>
            <w:vAlign w:val="center"/>
          </w:tcPr>
          <w:p w14:paraId="75F803B8">
            <w:pPr>
              <w:widowControl/>
              <w:adjustRightInd w:val="0"/>
              <w:jc w:val="center"/>
              <w:rPr>
                <w:rFonts w:ascii="Times New Roman" w:hAnsi="Times New Roman" w:eastAsia="仿宋_GB2312" w:cs="Times New Roman"/>
                <w:sz w:val="24"/>
              </w:rPr>
            </w:pPr>
            <w:r>
              <w:rPr>
                <w:rFonts w:ascii="Times New Roman" w:hAnsi="Times New Roman" w:eastAsia="仿宋_GB2312" w:cs="Times New Roman"/>
                <w:sz w:val="24"/>
              </w:rPr>
              <w:t>品牌建设</w:t>
            </w:r>
          </w:p>
        </w:tc>
        <w:tc>
          <w:tcPr>
            <w:tcW w:w="3922" w:type="dxa"/>
            <w:tcBorders>
              <w:top w:val="single" w:color="000000" w:sz="4" w:space="0"/>
              <w:left w:val="single" w:color="auto" w:sz="4" w:space="0"/>
              <w:bottom w:val="single" w:color="000000" w:sz="4" w:space="0"/>
              <w:right w:val="single" w:color="auto" w:sz="4" w:space="0"/>
            </w:tcBorders>
            <w:shd w:val="clear" w:color="auto" w:fill="FFFFFF"/>
            <w:vAlign w:val="center"/>
          </w:tcPr>
          <w:p w14:paraId="0027C712">
            <w:pPr>
              <w:widowControl/>
              <w:adjustRightInd w:val="0"/>
              <w:jc w:val="center"/>
              <w:rPr>
                <w:rFonts w:ascii="Times New Roman" w:hAnsi="Times New Roman" w:eastAsia="仿宋_GB2312" w:cs="Times New Roman"/>
                <w:kern w:val="0"/>
                <w:sz w:val="24"/>
              </w:rPr>
            </w:pPr>
            <w:r>
              <w:rPr>
                <w:rFonts w:ascii="Times New Roman" w:hAnsi="Times New Roman" w:eastAsia="仿宋_GB2312" w:cs="Times New Roman"/>
                <w:sz w:val="24"/>
              </w:rPr>
              <w:t>安徽工业精品（个）</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39D6D26A">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39</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1E55EA8B">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lang w:val="en-US" w:eastAsia="zh-CN"/>
              </w:rPr>
              <w:t>6</w:t>
            </w:r>
            <w:r>
              <w:rPr>
                <w:rFonts w:ascii="Times New Roman" w:hAnsi="Times New Roman" w:eastAsia="仿宋_GB2312" w:cs="Times New Roman"/>
                <w:kern w:val="0"/>
                <w:sz w:val="24"/>
              </w:rPr>
              <w:t>9</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16AEC0AB">
            <w:pPr>
              <w:widowControl/>
              <w:adjustRightInd w:val="0"/>
              <w:jc w:val="center"/>
              <w:rPr>
                <w:rFonts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lang w:eastAsia="zh-CN"/>
              </w:rPr>
              <w:t>累计</w:t>
            </w:r>
          </w:p>
        </w:tc>
      </w:tr>
      <w:tr w14:paraId="42AEF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12" w:hRule="atLeast"/>
          <w:jc w:val="center"/>
        </w:trPr>
        <w:tc>
          <w:tcPr>
            <w:tcW w:w="654" w:type="dxa"/>
            <w:tcBorders>
              <w:top w:val="single" w:color="000000" w:sz="4" w:space="0"/>
              <w:left w:val="single" w:color="auto" w:sz="4" w:space="0"/>
              <w:bottom w:val="single" w:color="000000" w:sz="4" w:space="0"/>
              <w:right w:val="single" w:color="auto" w:sz="4" w:space="0"/>
            </w:tcBorders>
            <w:shd w:val="clear" w:color="auto" w:fill="FFFFFF"/>
            <w:vAlign w:val="center"/>
          </w:tcPr>
          <w:p w14:paraId="65905BCF">
            <w:pPr>
              <w:widowControl/>
              <w:adjustRightInd w:val="0"/>
              <w:jc w:val="center"/>
              <w:rPr>
                <w:rFonts w:ascii="Times New Roman" w:hAnsi="Times New Roman" w:eastAsia="仿宋_GB2312" w:cs="Times New Roman"/>
                <w:sz w:val="24"/>
              </w:rPr>
            </w:pPr>
            <w:r>
              <w:rPr>
                <w:rFonts w:hint="eastAsia" w:ascii="Times New Roman" w:hAnsi="Times New Roman" w:eastAsia="仿宋_GB2312" w:cs="Times New Roman"/>
                <w:sz w:val="24"/>
                <w:lang w:val="en-US" w:eastAsia="zh-CN"/>
              </w:rPr>
              <w:t>17</w:t>
            </w:r>
          </w:p>
        </w:tc>
        <w:tc>
          <w:tcPr>
            <w:tcW w:w="666" w:type="dxa"/>
            <w:vMerge w:val="continue"/>
            <w:tcBorders>
              <w:left w:val="single" w:color="auto" w:sz="4" w:space="0"/>
              <w:right w:val="single" w:color="000000" w:sz="4" w:space="0"/>
            </w:tcBorders>
            <w:shd w:val="clear" w:color="auto" w:fill="FFFFFF"/>
            <w:vAlign w:val="center"/>
          </w:tcPr>
          <w:p w14:paraId="3CAAA2C6">
            <w:pPr>
              <w:widowControl/>
              <w:adjustRightInd w:val="0"/>
              <w:jc w:val="center"/>
              <w:rPr>
                <w:rFonts w:ascii="Times New Roman" w:hAnsi="Times New Roman" w:eastAsia="仿宋_GB2312" w:cs="Times New Roman"/>
                <w:sz w:val="24"/>
              </w:rPr>
            </w:pPr>
          </w:p>
        </w:tc>
        <w:tc>
          <w:tcPr>
            <w:tcW w:w="3922" w:type="dxa"/>
            <w:tcBorders>
              <w:top w:val="single" w:color="000000" w:sz="4" w:space="0"/>
              <w:left w:val="single" w:color="auto" w:sz="4" w:space="0"/>
              <w:bottom w:val="single" w:color="000000" w:sz="4" w:space="0"/>
              <w:right w:val="single" w:color="auto" w:sz="4" w:space="0"/>
            </w:tcBorders>
            <w:shd w:val="clear" w:color="auto" w:fill="FFFFFF"/>
            <w:vAlign w:val="center"/>
          </w:tcPr>
          <w:p w14:paraId="5890893E">
            <w:pPr>
              <w:widowControl/>
              <w:adjustRightInd w:val="0"/>
              <w:jc w:val="center"/>
              <w:rPr>
                <w:rFonts w:ascii="Times New Roman" w:hAnsi="Times New Roman" w:eastAsia="仿宋_GB2312" w:cs="Times New Roman"/>
                <w:kern w:val="0"/>
                <w:sz w:val="24"/>
              </w:rPr>
            </w:pPr>
            <w:r>
              <w:rPr>
                <w:rFonts w:ascii="Times New Roman" w:hAnsi="Times New Roman" w:eastAsia="仿宋_GB2312" w:cs="Times New Roman"/>
                <w:sz w:val="24"/>
              </w:rPr>
              <w:t>省级新产品（个）</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137B1CF7">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3</w:t>
            </w:r>
            <w:r>
              <w:rPr>
                <w:rFonts w:ascii="Times New Roman" w:hAnsi="Times New Roman" w:eastAsia="仿宋_GB2312" w:cs="Times New Roman"/>
                <w:kern w:val="0"/>
                <w:sz w:val="24"/>
              </w:rPr>
              <w:t>90</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15E323F8">
            <w:pPr>
              <w:widowControl/>
              <w:adjustRightInd w:val="0"/>
              <w:jc w:val="center"/>
              <w:rPr>
                <w:rFonts w:hint="default" w:ascii="Times New Roman" w:hAnsi="Times New Roman" w:eastAsia="仿宋_GB2312" w:cs="Times New Roman"/>
                <w:kern w:val="0"/>
                <w:sz w:val="24"/>
                <w:lang w:val="en-US" w:eastAsia="zh-CN"/>
              </w:rPr>
            </w:pPr>
            <w:r>
              <w:rPr>
                <w:rFonts w:hint="eastAsia" w:ascii="Times New Roman" w:hAnsi="Times New Roman" w:eastAsia="仿宋_GB2312" w:cs="Times New Roman"/>
                <w:kern w:val="0"/>
                <w:sz w:val="24"/>
                <w:lang w:val="en-US" w:eastAsia="zh-CN"/>
              </w:rPr>
              <w:t>890</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570B5284">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lang w:eastAsia="zh-CN"/>
              </w:rPr>
              <w:t>累计</w:t>
            </w:r>
          </w:p>
        </w:tc>
      </w:tr>
      <w:tr w14:paraId="0E31B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64" w:hRule="atLeast"/>
          <w:jc w:val="center"/>
        </w:trPr>
        <w:tc>
          <w:tcPr>
            <w:tcW w:w="654" w:type="dxa"/>
            <w:tcBorders>
              <w:top w:val="single" w:color="000000" w:sz="4" w:space="0"/>
              <w:left w:val="single" w:color="auto" w:sz="4" w:space="0"/>
              <w:bottom w:val="single" w:color="000000" w:sz="4" w:space="0"/>
              <w:right w:val="single" w:color="auto" w:sz="4" w:space="0"/>
            </w:tcBorders>
            <w:shd w:val="clear" w:color="auto" w:fill="FFFFFF"/>
            <w:vAlign w:val="center"/>
          </w:tcPr>
          <w:p w14:paraId="46885C97">
            <w:pPr>
              <w:widowControl/>
              <w:adjustRightInd w:val="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rPr>
              <w:t>18</w:t>
            </w:r>
          </w:p>
        </w:tc>
        <w:tc>
          <w:tcPr>
            <w:tcW w:w="666" w:type="dxa"/>
            <w:vMerge w:val="restart"/>
            <w:tcBorders>
              <w:left w:val="single" w:color="auto" w:sz="4" w:space="0"/>
              <w:right w:val="single" w:color="000000" w:sz="4" w:space="0"/>
            </w:tcBorders>
            <w:shd w:val="clear" w:color="auto" w:fill="FFFFFF"/>
            <w:vAlign w:val="center"/>
          </w:tcPr>
          <w:p w14:paraId="54046D54">
            <w:pPr>
              <w:adjustRightInd w:val="0"/>
              <w:jc w:val="center"/>
              <w:rPr>
                <w:rFonts w:ascii="Times New Roman" w:hAnsi="Times New Roman" w:eastAsia="仿宋_GB2312" w:cs="Times New Roman"/>
                <w:sz w:val="24"/>
              </w:rPr>
            </w:pPr>
            <w:r>
              <w:rPr>
                <w:rFonts w:hint="eastAsia" w:ascii="Times New Roman" w:hAnsi="Times New Roman" w:eastAsia="仿宋_GB2312" w:cs="Times New Roman"/>
                <w:sz w:val="24"/>
              </w:rPr>
              <w:t>绿色发展</w:t>
            </w:r>
          </w:p>
        </w:tc>
        <w:tc>
          <w:tcPr>
            <w:tcW w:w="3922" w:type="dxa"/>
            <w:tcBorders>
              <w:top w:val="single" w:color="000000" w:sz="4" w:space="0"/>
              <w:left w:val="single" w:color="auto" w:sz="4" w:space="0"/>
              <w:bottom w:val="single" w:color="000000" w:sz="4" w:space="0"/>
              <w:right w:val="single" w:color="auto" w:sz="4" w:space="0"/>
            </w:tcBorders>
            <w:shd w:val="clear" w:color="auto" w:fill="FFFFFF"/>
            <w:vAlign w:val="center"/>
          </w:tcPr>
          <w:p w14:paraId="4889CAE3">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sz w:val="24"/>
                <w:lang w:val="en-US" w:eastAsia="zh-CN"/>
              </w:rPr>
              <w:t>国家级</w:t>
            </w:r>
            <w:r>
              <w:rPr>
                <w:rFonts w:ascii="Times New Roman" w:hAnsi="Times New Roman" w:eastAsia="仿宋_GB2312" w:cs="Times New Roman"/>
                <w:sz w:val="24"/>
              </w:rPr>
              <w:t>绿色工厂（个）</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7543EB72">
            <w:pPr>
              <w:widowControl/>
              <w:adjustRightInd w:val="0"/>
              <w:jc w:val="center"/>
              <w:rPr>
                <w:rFonts w:hint="eastAsia" w:ascii="Times New Roman" w:hAnsi="Times New Roman" w:eastAsia="仿宋_GB2312" w:cs="Times New Roman"/>
                <w:kern w:val="0"/>
                <w:sz w:val="24"/>
                <w:lang w:eastAsia="zh-CN"/>
              </w:rPr>
            </w:pPr>
            <w:r>
              <w:rPr>
                <w:rFonts w:hint="eastAsia" w:ascii="Times New Roman" w:hAnsi="Times New Roman" w:eastAsia="仿宋_GB2312" w:cs="Times New Roman"/>
                <w:kern w:val="0"/>
                <w:sz w:val="24"/>
                <w:lang w:val="en-US" w:eastAsia="zh-CN"/>
              </w:rPr>
              <w:t>9</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2EC410F0">
            <w:pPr>
              <w:widowControl/>
              <w:adjustRightInd w:val="0"/>
              <w:jc w:val="center"/>
              <w:rPr>
                <w:rFonts w:hint="default" w:ascii="Times New Roman" w:hAnsi="Times New Roman" w:eastAsia="仿宋_GB2312" w:cs="Times New Roman"/>
                <w:kern w:val="0"/>
                <w:sz w:val="24"/>
                <w:lang w:val="en-US" w:eastAsia="zh-CN"/>
              </w:rPr>
            </w:pPr>
            <w:r>
              <w:rPr>
                <w:rFonts w:hint="eastAsia" w:ascii="Times New Roman" w:hAnsi="Times New Roman" w:eastAsia="仿宋_GB2312" w:cs="Times New Roman"/>
                <w:kern w:val="0"/>
                <w:sz w:val="24"/>
                <w:lang w:val="en-US" w:eastAsia="zh-CN"/>
              </w:rPr>
              <w:t>14</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54AA5192">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lang w:eastAsia="zh-CN"/>
              </w:rPr>
              <w:t>累计</w:t>
            </w:r>
          </w:p>
        </w:tc>
      </w:tr>
      <w:tr w14:paraId="61288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80" w:hRule="atLeast"/>
          <w:jc w:val="center"/>
        </w:trPr>
        <w:tc>
          <w:tcPr>
            <w:tcW w:w="654" w:type="dxa"/>
            <w:tcBorders>
              <w:top w:val="single" w:color="000000" w:sz="4" w:space="0"/>
              <w:left w:val="single" w:color="auto" w:sz="4" w:space="0"/>
              <w:bottom w:val="single" w:color="000000" w:sz="4" w:space="0"/>
              <w:right w:val="single" w:color="auto" w:sz="4" w:space="0"/>
            </w:tcBorders>
            <w:shd w:val="clear" w:color="auto" w:fill="FFFFFF"/>
            <w:vAlign w:val="center"/>
          </w:tcPr>
          <w:p w14:paraId="0B006C10">
            <w:pPr>
              <w:widowControl/>
              <w:adjustRightInd w:val="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rPr>
              <w:t>19</w:t>
            </w:r>
          </w:p>
        </w:tc>
        <w:tc>
          <w:tcPr>
            <w:tcW w:w="666" w:type="dxa"/>
            <w:vMerge w:val="continue"/>
            <w:tcBorders>
              <w:left w:val="single" w:color="auto" w:sz="4" w:space="0"/>
              <w:right w:val="single" w:color="000000" w:sz="4" w:space="0"/>
            </w:tcBorders>
            <w:shd w:val="clear" w:color="auto" w:fill="FFFFFF"/>
            <w:vAlign w:val="center"/>
          </w:tcPr>
          <w:p w14:paraId="74C55426">
            <w:pPr>
              <w:adjustRightInd w:val="0"/>
              <w:jc w:val="center"/>
              <w:rPr>
                <w:rFonts w:ascii="Times New Roman" w:hAnsi="Times New Roman" w:eastAsia="仿宋_GB2312" w:cs="Times New Roman"/>
                <w:sz w:val="24"/>
              </w:rPr>
            </w:pPr>
          </w:p>
        </w:tc>
        <w:tc>
          <w:tcPr>
            <w:tcW w:w="3922" w:type="dxa"/>
            <w:tcBorders>
              <w:top w:val="single" w:color="000000" w:sz="4" w:space="0"/>
              <w:left w:val="single" w:color="auto" w:sz="4" w:space="0"/>
              <w:bottom w:val="single" w:color="000000" w:sz="4" w:space="0"/>
              <w:right w:val="single" w:color="auto" w:sz="4" w:space="0"/>
            </w:tcBorders>
            <w:shd w:val="clear" w:color="auto" w:fill="FFFFFF"/>
            <w:vAlign w:val="center"/>
          </w:tcPr>
          <w:p w14:paraId="6E2CAF57">
            <w:pPr>
              <w:widowControl/>
              <w:adjustRightInd w:val="0"/>
              <w:jc w:val="center"/>
              <w:rPr>
                <w:rFonts w:ascii="Times New Roman" w:hAnsi="Times New Roman" w:eastAsia="仿宋_GB2312" w:cs="Times New Roman"/>
                <w:sz w:val="24"/>
              </w:rPr>
            </w:pPr>
            <w:r>
              <w:rPr>
                <w:rFonts w:hint="eastAsia" w:ascii="Times New Roman" w:hAnsi="Times New Roman" w:eastAsia="仿宋_GB2312" w:cs="Times New Roman"/>
                <w:sz w:val="24"/>
                <w:lang w:val="en-US" w:eastAsia="zh-CN"/>
              </w:rPr>
              <w:t>国家级</w:t>
            </w:r>
            <w:r>
              <w:rPr>
                <w:rFonts w:hint="eastAsia" w:ascii="Times New Roman" w:hAnsi="Times New Roman" w:eastAsia="仿宋_GB2312" w:cs="Times New Roman"/>
                <w:sz w:val="24"/>
              </w:rPr>
              <w:t>绿色园区</w:t>
            </w:r>
            <w:r>
              <w:rPr>
                <w:rFonts w:ascii="Times New Roman" w:hAnsi="Times New Roman" w:eastAsia="仿宋_GB2312" w:cs="Times New Roman"/>
                <w:sz w:val="24"/>
              </w:rPr>
              <w:t>（个）</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4F3747B9">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1</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2D4DF674">
            <w:pPr>
              <w:widowControl/>
              <w:adjustRightInd w:val="0"/>
              <w:jc w:val="center"/>
              <w:rPr>
                <w:rFonts w:hint="eastAsia" w:ascii="Times New Roman" w:hAnsi="Times New Roman" w:eastAsia="仿宋_GB2312" w:cs="Times New Roman"/>
                <w:kern w:val="0"/>
                <w:sz w:val="24"/>
                <w:lang w:eastAsia="zh-CN"/>
              </w:rPr>
            </w:pPr>
            <w:r>
              <w:rPr>
                <w:rFonts w:hint="eastAsia" w:ascii="Times New Roman" w:hAnsi="Times New Roman" w:eastAsia="仿宋_GB2312" w:cs="Times New Roman"/>
                <w:kern w:val="0"/>
                <w:sz w:val="24"/>
                <w:lang w:val="en-US" w:eastAsia="zh-CN"/>
              </w:rPr>
              <w:t>2</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22F26889">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lang w:eastAsia="zh-CN"/>
              </w:rPr>
              <w:t>累计</w:t>
            </w:r>
          </w:p>
        </w:tc>
      </w:tr>
      <w:tr w14:paraId="2140F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654" w:type="dxa"/>
            <w:tcBorders>
              <w:top w:val="single" w:color="000000" w:sz="4" w:space="0"/>
              <w:left w:val="single" w:color="auto" w:sz="4" w:space="0"/>
              <w:bottom w:val="single" w:color="000000" w:sz="4" w:space="0"/>
              <w:right w:val="single" w:color="auto" w:sz="4" w:space="0"/>
            </w:tcBorders>
            <w:shd w:val="clear" w:color="auto" w:fill="FFFFFF"/>
            <w:vAlign w:val="center"/>
          </w:tcPr>
          <w:p w14:paraId="6C9C3788">
            <w:pPr>
              <w:widowControl/>
              <w:adjustRightInd w:val="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rPr>
              <w:t>20</w:t>
            </w:r>
          </w:p>
        </w:tc>
        <w:tc>
          <w:tcPr>
            <w:tcW w:w="666" w:type="dxa"/>
            <w:vMerge w:val="continue"/>
            <w:tcBorders>
              <w:left w:val="single" w:color="auto" w:sz="4" w:space="0"/>
              <w:right w:val="single" w:color="000000" w:sz="4" w:space="0"/>
            </w:tcBorders>
            <w:shd w:val="clear" w:color="auto" w:fill="FFFFFF"/>
            <w:vAlign w:val="center"/>
          </w:tcPr>
          <w:p w14:paraId="6C363584">
            <w:pPr>
              <w:adjustRightInd w:val="0"/>
              <w:jc w:val="center"/>
              <w:rPr>
                <w:rFonts w:ascii="Times New Roman" w:hAnsi="Times New Roman" w:eastAsia="仿宋_GB2312" w:cs="Times New Roman"/>
                <w:sz w:val="24"/>
              </w:rPr>
            </w:pPr>
          </w:p>
        </w:tc>
        <w:tc>
          <w:tcPr>
            <w:tcW w:w="3922" w:type="dxa"/>
            <w:tcBorders>
              <w:top w:val="single" w:color="000000" w:sz="4" w:space="0"/>
              <w:left w:val="single" w:color="auto" w:sz="4" w:space="0"/>
              <w:bottom w:val="single" w:color="000000" w:sz="4" w:space="0"/>
              <w:right w:val="single" w:color="auto" w:sz="4" w:space="0"/>
            </w:tcBorders>
            <w:shd w:val="clear" w:color="auto" w:fill="FFFFFF"/>
            <w:vAlign w:val="center"/>
          </w:tcPr>
          <w:p w14:paraId="5102040C">
            <w:pPr>
              <w:widowControl/>
              <w:adjustRightInd w:val="0"/>
              <w:jc w:val="center"/>
              <w:rPr>
                <w:rFonts w:ascii="Times New Roman" w:hAnsi="Times New Roman" w:eastAsia="仿宋_GB2312" w:cs="Times New Roman"/>
                <w:sz w:val="24"/>
              </w:rPr>
            </w:pPr>
            <w:r>
              <w:rPr>
                <w:rFonts w:hint="eastAsia" w:ascii="Times New Roman" w:hAnsi="Times New Roman" w:eastAsia="仿宋_GB2312" w:cs="Times New Roman"/>
                <w:sz w:val="24"/>
                <w:lang w:val="en-US" w:eastAsia="zh-CN"/>
              </w:rPr>
              <w:t>国家级</w:t>
            </w:r>
            <w:r>
              <w:rPr>
                <w:rFonts w:hint="eastAsia" w:ascii="Times New Roman" w:hAnsi="Times New Roman" w:eastAsia="仿宋_GB2312" w:cs="Times New Roman"/>
                <w:sz w:val="24"/>
              </w:rPr>
              <w:t>绿色供应链（家）</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152AD34A">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3</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6367D14A">
            <w:pPr>
              <w:widowControl/>
              <w:adjustRightInd w:val="0"/>
              <w:jc w:val="center"/>
              <w:rPr>
                <w:rFonts w:hint="eastAsia" w:ascii="Times New Roman" w:hAnsi="Times New Roman" w:eastAsia="仿宋_GB2312" w:cs="Times New Roman"/>
                <w:kern w:val="0"/>
                <w:sz w:val="24"/>
                <w:lang w:eastAsia="zh-CN"/>
              </w:rPr>
            </w:pPr>
            <w:r>
              <w:rPr>
                <w:rFonts w:hint="eastAsia" w:ascii="Times New Roman" w:hAnsi="Times New Roman" w:eastAsia="仿宋_GB2312" w:cs="Times New Roman"/>
                <w:kern w:val="0"/>
                <w:sz w:val="24"/>
                <w:lang w:val="en-US" w:eastAsia="zh-CN"/>
              </w:rPr>
              <w:t>8</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6C0E9C6E">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lang w:eastAsia="zh-CN"/>
              </w:rPr>
              <w:t>累计</w:t>
            </w:r>
          </w:p>
        </w:tc>
      </w:tr>
      <w:tr w14:paraId="1DA1E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654" w:type="dxa"/>
            <w:tcBorders>
              <w:top w:val="single" w:color="000000" w:sz="4" w:space="0"/>
              <w:left w:val="single" w:color="auto" w:sz="4" w:space="0"/>
              <w:bottom w:val="single" w:color="000000" w:sz="4" w:space="0"/>
              <w:right w:val="single" w:color="auto" w:sz="4" w:space="0"/>
            </w:tcBorders>
            <w:shd w:val="clear" w:color="auto" w:fill="FFFFFF"/>
            <w:vAlign w:val="center"/>
          </w:tcPr>
          <w:p w14:paraId="580F901A">
            <w:pPr>
              <w:widowControl/>
              <w:adjustRightInd w:val="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rPr>
              <w:t>21</w:t>
            </w:r>
          </w:p>
        </w:tc>
        <w:tc>
          <w:tcPr>
            <w:tcW w:w="666" w:type="dxa"/>
            <w:vMerge w:val="continue"/>
            <w:tcBorders>
              <w:left w:val="single" w:color="auto" w:sz="4" w:space="0"/>
              <w:right w:val="single" w:color="000000" w:sz="4" w:space="0"/>
            </w:tcBorders>
            <w:shd w:val="clear" w:color="auto" w:fill="FFFFFF"/>
            <w:vAlign w:val="center"/>
          </w:tcPr>
          <w:p w14:paraId="47DCC890">
            <w:pPr>
              <w:adjustRightInd w:val="0"/>
              <w:jc w:val="center"/>
              <w:rPr>
                <w:rFonts w:ascii="Times New Roman" w:hAnsi="Times New Roman" w:eastAsia="仿宋_GB2312" w:cs="Times New Roman"/>
                <w:sz w:val="24"/>
              </w:rPr>
            </w:pPr>
          </w:p>
        </w:tc>
        <w:tc>
          <w:tcPr>
            <w:tcW w:w="3922" w:type="dxa"/>
            <w:tcBorders>
              <w:top w:val="single" w:color="000000" w:sz="4" w:space="0"/>
              <w:left w:val="single" w:color="auto" w:sz="4" w:space="0"/>
              <w:bottom w:val="single" w:color="000000" w:sz="4" w:space="0"/>
              <w:right w:val="single" w:color="auto" w:sz="4" w:space="0"/>
            </w:tcBorders>
            <w:shd w:val="clear" w:color="auto" w:fill="FFFFFF"/>
            <w:vAlign w:val="center"/>
          </w:tcPr>
          <w:p w14:paraId="4C55E429">
            <w:pPr>
              <w:widowControl/>
              <w:adjustRightInd w:val="0"/>
              <w:jc w:val="center"/>
              <w:rPr>
                <w:rFonts w:ascii="Times New Roman" w:hAnsi="Times New Roman" w:eastAsia="仿宋_GB2312" w:cs="Times New Roman"/>
                <w:sz w:val="24"/>
              </w:rPr>
            </w:pPr>
            <w:r>
              <w:rPr>
                <w:rFonts w:hint="eastAsia" w:ascii="Times New Roman" w:hAnsi="Times New Roman" w:eastAsia="仿宋_GB2312" w:cs="Times New Roman"/>
                <w:sz w:val="24"/>
                <w:lang w:val="en-US" w:eastAsia="zh-CN"/>
              </w:rPr>
              <w:t>国家级</w:t>
            </w:r>
            <w:r>
              <w:rPr>
                <w:rFonts w:hint="eastAsia" w:ascii="Times New Roman" w:hAnsi="Times New Roman" w:eastAsia="仿宋_GB2312" w:cs="Times New Roman"/>
                <w:sz w:val="24"/>
              </w:rPr>
              <w:t>绿色设计产品（项）</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2D9B3C8F">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14</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4A314E09">
            <w:pPr>
              <w:widowControl/>
              <w:adjustRightInd w:val="0"/>
              <w:jc w:val="center"/>
              <w:rPr>
                <w:rFonts w:hint="default" w:ascii="Times New Roman" w:hAnsi="Times New Roman" w:eastAsia="仿宋_GB2312" w:cs="Times New Roman"/>
                <w:kern w:val="0"/>
                <w:sz w:val="24"/>
                <w:lang w:val="en-US" w:eastAsia="zh-CN"/>
              </w:rPr>
            </w:pPr>
            <w:r>
              <w:rPr>
                <w:rFonts w:hint="eastAsia" w:ascii="Times New Roman" w:hAnsi="Times New Roman" w:eastAsia="仿宋_GB2312" w:cs="Times New Roman"/>
                <w:kern w:val="0"/>
                <w:sz w:val="24"/>
                <w:lang w:val="en-US" w:eastAsia="zh-CN"/>
              </w:rPr>
              <w:t>39</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53B112EE">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lang w:eastAsia="zh-CN"/>
              </w:rPr>
              <w:t>累计</w:t>
            </w:r>
          </w:p>
        </w:tc>
      </w:tr>
      <w:tr w14:paraId="215E3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4" w:type="dxa"/>
            <w:tcBorders>
              <w:top w:val="single" w:color="000000" w:sz="4" w:space="0"/>
              <w:left w:val="single" w:color="auto" w:sz="4" w:space="0"/>
              <w:bottom w:val="single" w:color="000000" w:sz="4" w:space="0"/>
              <w:right w:val="single" w:color="auto" w:sz="4" w:space="0"/>
            </w:tcBorders>
            <w:shd w:val="clear" w:color="auto" w:fill="FFFFFF"/>
            <w:vAlign w:val="center"/>
          </w:tcPr>
          <w:p w14:paraId="3A091423">
            <w:pPr>
              <w:widowControl/>
              <w:adjustRightInd w:val="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rPr>
              <w:t>22</w:t>
            </w:r>
          </w:p>
        </w:tc>
        <w:tc>
          <w:tcPr>
            <w:tcW w:w="666" w:type="dxa"/>
            <w:vMerge w:val="continue"/>
            <w:tcBorders>
              <w:left w:val="single" w:color="auto" w:sz="4" w:space="0"/>
              <w:right w:val="single" w:color="000000" w:sz="4" w:space="0"/>
            </w:tcBorders>
            <w:shd w:val="clear" w:color="auto" w:fill="FFFFFF"/>
            <w:vAlign w:val="center"/>
          </w:tcPr>
          <w:p w14:paraId="1C771C0F">
            <w:pPr>
              <w:widowControl/>
              <w:adjustRightInd w:val="0"/>
              <w:jc w:val="center"/>
              <w:rPr>
                <w:rFonts w:ascii="Times New Roman" w:hAnsi="Times New Roman" w:eastAsia="仿宋_GB2312" w:cs="Times New Roman"/>
                <w:sz w:val="24"/>
              </w:rPr>
            </w:pPr>
          </w:p>
        </w:tc>
        <w:tc>
          <w:tcPr>
            <w:tcW w:w="3922" w:type="dxa"/>
            <w:tcBorders>
              <w:top w:val="single" w:color="000000" w:sz="4" w:space="0"/>
              <w:left w:val="single" w:color="auto" w:sz="4" w:space="0"/>
              <w:bottom w:val="single" w:color="000000" w:sz="4" w:space="0"/>
              <w:right w:val="single" w:color="auto" w:sz="4" w:space="0"/>
            </w:tcBorders>
            <w:shd w:val="clear" w:color="auto" w:fill="FFFFFF"/>
            <w:vAlign w:val="center"/>
          </w:tcPr>
          <w:p w14:paraId="10C4C383">
            <w:pPr>
              <w:widowControl/>
              <w:adjustRightInd w:val="0"/>
              <w:jc w:val="center"/>
              <w:rPr>
                <w:rFonts w:ascii="Times New Roman" w:hAnsi="Times New Roman" w:eastAsia="仿宋_GB2312" w:cs="Times New Roman"/>
                <w:sz w:val="24"/>
              </w:rPr>
            </w:pPr>
            <w:r>
              <w:rPr>
                <w:rFonts w:hint="eastAsia" w:ascii="Times New Roman" w:hAnsi="Times New Roman" w:eastAsia="仿宋_GB2312" w:cs="Times New Roman"/>
                <w:sz w:val="24"/>
              </w:rPr>
              <w:t>规模以上单位工业增加值能耗下降</w:t>
            </w:r>
          </w:p>
          <w:p w14:paraId="042575EB">
            <w:pPr>
              <w:widowControl/>
              <w:adjustRightInd w:val="0"/>
              <w:jc w:val="center"/>
              <w:rPr>
                <w:rFonts w:ascii="Times New Roman" w:hAnsi="Times New Roman" w:eastAsia="仿宋_GB2312" w:cs="Times New Roman"/>
                <w:sz w:val="24"/>
                <w:shd w:val="clear" w:color="auto" w:fill="FFFFFF"/>
              </w:rPr>
            </w:pPr>
            <w:r>
              <w:rPr>
                <w:rFonts w:hint="eastAsia" w:ascii="Times New Roman" w:hAnsi="Times New Roman" w:eastAsia="仿宋_GB2312" w:cs="Times New Roman"/>
                <w:sz w:val="24"/>
              </w:rPr>
              <w:t>幅度（%）</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4BFBA347">
            <w:pPr>
              <w:widowControl/>
              <w:adjustRightInd w:val="0"/>
              <w:jc w:val="center"/>
              <w:rPr>
                <w:rFonts w:hint="eastAsia" w:ascii="Times New Roman" w:hAnsi="Times New Roman" w:eastAsia="仿宋_GB2312" w:cs="Times New Roman"/>
                <w:kern w:val="0"/>
                <w:sz w:val="24"/>
                <w:lang w:val="en-US" w:eastAsia="zh-CN"/>
              </w:rPr>
            </w:pPr>
            <w:r>
              <w:rPr>
                <w:rFonts w:hint="eastAsia" w:ascii="Times New Roman" w:hAnsi="Times New Roman" w:eastAsia="仿宋_GB2312" w:cs="Times New Roman"/>
                <w:kern w:val="0"/>
                <w:sz w:val="24"/>
                <w:lang w:val="en-US" w:eastAsia="zh-CN"/>
              </w:rPr>
              <w:t>-</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152F4E8D">
            <w:pPr>
              <w:widowControl/>
              <w:adjustRightInd w:val="0"/>
              <w:jc w:val="center"/>
              <w:rPr>
                <w:rFonts w:hint="default" w:ascii="Times New Roman" w:hAnsi="Times New Roman" w:eastAsia="仿宋_GB2312" w:cs="Times New Roman"/>
                <w:kern w:val="0"/>
                <w:sz w:val="24"/>
                <w:lang w:val="en-US" w:eastAsia="zh-CN"/>
              </w:rPr>
            </w:pPr>
            <w:r>
              <w:rPr>
                <w:rFonts w:hint="eastAsia" w:ascii="Times New Roman" w:hAnsi="Times New Roman" w:eastAsia="仿宋_GB2312" w:cs="Times New Roman"/>
                <w:kern w:val="0"/>
                <w:sz w:val="24"/>
                <w:lang w:val="en-US" w:eastAsia="zh-CN"/>
              </w:rPr>
              <w:t>16左右</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0C5721A2">
            <w:pPr>
              <w:widowControl/>
              <w:adjustRightInd w:val="0"/>
              <w:jc w:val="center"/>
              <w:rPr>
                <w:rFonts w:ascii="Times New Roman" w:hAnsi="Times New Roman" w:eastAsia="仿宋_GB2312" w:cs="Times New Roman"/>
                <w:kern w:val="0"/>
                <w:sz w:val="24"/>
              </w:rPr>
            </w:pPr>
            <w:r>
              <w:rPr>
                <w:rFonts w:hint="eastAsia" w:ascii="Times New Roman" w:hAnsi="Times New Roman" w:eastAsia="仿宋_GB2312" w:cs="Times New Roman"/>
                <w:kern w:val="0"/>
                <w:sz w:val="24"/>
              </w:rPr>
              <w:t>-</w:t>
            </w:r>
          </w:p>
        </w:tc>
      </w:tr>
      <w:tr w14:paraId="1070E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654" w:type="dxa"/>
            <w:tcBorders>
              <w:top w:val="single" w:color="000000" w:sz="4" w:space="0"/>
              <w:left w:val="single" w:color="auto" w:sz="4" w:space="0"/>
              <w:bottom w:val="single" w:color="000000" w:sz="4" w:space="0"/>
              <w:right w:val="single" w:color="auto" w:sz="4" w:space="0"/>
            </w:tcBorders>
            <w:shd w:val="clear" w:color="auto" w:fill="FFFFFF"/>
            <w:vAlign w:val="center"/>
          </w:tcPr>
          <w:p w14:paraId="3F081CB1">
            <w:pPr>
              <w:widowControl/>
              <w:adjustRightInd w:val="0"/>
              <w:jc w:val="center"/>
              <w:rPr>
                <w:rFonts w:hint="eastAsia" w:ascii="Times New Roman" w:hAnsi="Times New Roman" w:eastAsia="仿宋_GB2312" w:cs="Times New Roman"/>
                <w:kern w:val="2"/>
                <w:sz w:val="24"/>
                <w:szCs w:val="24"/>
                <w:lang w:val="en-US" w:eastAsia="zh-CN" w:bidi="ar-SA"/>
              </w:rPr>
            </w:pPr>
            <w:bookmarkStart w:id="169" w:name="_Toc14938"/>
            <w:r>
              <w:rPr>
                <w:rFonts w:hint="eastAsia" w:ascii="Times New Roman" w:hAnsi="Times New Roman" w:eastAsia="仿宋_GB2312" w:cs="Times New Roman"/>
                <w:sz w:val="24"/>
              </w:rPr>
              <w:t>23</w:t>
            </w:r>
          </w:p>
        </w:tc>
        <w:tc>
          <w:tcPr>
            <w:tcW w:w="666" w:type="dxa"/>
            <w:vMerge w:val="restart"/>
            <w:tcBorders>
              <w:left w:val="single" w:color="auto" w:sz="4" w:space="0"/>
              <w:right w:val="single" w:color="000000" w:sz="4" w:space="0"/>
            </w:tcBorders>
            <w:shd w:val="clear" w:color="auto" w:fill="FFFFFF"/>
            <w:vAlign w:val="center"/>
          </w:tcPr>
          <w:p w14:paraId="063CD5A6">
            <w:pPr>
              <w:adjustRightInd w:val="0"/>
              <w:jc w:val="center"/>
              <w:rPr>
                <w:rFonts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rPr>
              <w:t>龙头企业</w:t>
            </w:r>
          </w:p>
          <w:p w14:paraId="10418412">
            <w:pPr>
              <w:widowControl/>
              <w:adjustRightInd w:val="0"/>
              <w:jc w:val="center"/>
              <w:rPr>
                <w:rFonts w:ascii="Times New Roman" w:hAnsi="Times New Roman" w:eastAsia="仿宋_GB2312" w:cs="Times New Roman"/>
                <w:sz w:val="24"/>
              </w:rPr>
            </w:pPr>
          </w:p>
        </w:tc>
        <w:tc>
          <w:tcPr>
            <w:tcW w:w="3922" w:type="dxa"/>
            <w:tcBorders>
              <w:top w:val="single" w:color="000000" w:sz="4" w:space="0"/>
              <w:left w:val="single" w:color="auto" w:sz="4" w:space="0"/>
              <w:bottom w:val="single" w:color="000000" w:sz="4" w:space="0"/>
              <w:right w:val="single" w:color="auto" w:sz="4" w:space="0"/>
            </w:tcBorders>
            <w:shd w:val="clear" w:color="auto" w:fill="FFFFFF"/>
            <w:vAlign w:val="center"/>
          </w:tcPr>
          <w:p w14:paraId="5F74EEB0">
            <w:pPr>
              <w:widowControl/>
              <w:adjustRightInd w:val="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rPr>
              <w:t>产值10亿元以上企业（家）</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556F2002">
            <w:pPr>
              <w:widowControl/>
              <w:adjustRightInd w:val="0"/>
              <w:jc w:val="center"/>
              <w:rPr>
                <w:rFonts w:hint="eastAsia"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rPr>
              <w:t>3</w:t>
            </w:r>
            <w:r>
              <w:rPr>
                <w:rFonts w:hint="default" w:ascii="Times New Roman" w:hAnsi="Times New Roman" w:eastAsia="仿宋_GB2312" w:cs="Times New Roman"/>
                <w:kern w:val="0"/>
                <w:sz w:val="24"/>
                <w:lang w:val="en-US"/>
              </w:rPr>
              <w:t>5</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31A9FB1E">
            <w:pPr>
              <w:widowControl/>
              <w:adjustRightInd w:val="0"/>
              <w:jc w:val="center"/>
              <w:rPr>
                <w:rFonts w:hint="default"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lang w:val="en-US" w:eastAsia="zh-CN"/>
              </w:rPr>
              <w:t>70以上</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07ACB6A9">
            <w:pPr>
              <w:widowControl/>
              <w:adjustRightInd w:val="0"/>
              <w:jc w:val="center"/>
              <w:rPr>
                <w:rFonts w:hint="eastAsia"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lang w:eastAsia="zh-CN"/>
              </w:rPr>
              <w:t>累计</w:t>
            </w:r>
          </w:p>
        </w:tc>
      </w:tr>
      <w:tr w14:paraId="31412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4" w:type="dxa"/>
            <w:tcBorders>
              <w:top w:val="single" w:color="000000" w:sz="4" w:space="0"/>
              <w:left w:val="single" w:color="auto" w:sz="4" w:space="0"/>
              <w:bottom w:val="single" w:color="000000" w:sz="4" w:space="0"/>
              <w:right w:val="single" w:color="auto" w:sz="4" w:space="0"/>
            </w:tcBorders>
            <w:shd w:val="clear" w:color="auto" w:fill="FFFFFF"/>
            <w:vAlign w:val="center"/>
          </w:tcPr>
          <w:p w14:paraId="53AB0ADE">
            <w:pPr>
              <w:widowControl/>
              <w:adjustRightInd w:val="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24</w:t>
            </w:r>
          </w:p>
        </w:tc>
        <w:tc>
          <w:tcPr>
            <w:tcW w:w="666" w:type="dxa"/>
            <w:vMerge w:val="continue"/>
            <w:tcBorders>
              <w:left w:val="single" w:color="auto" w:sz="4" w:space="0"/>
              <w:right w:val="single" w:color="000000" w:sz="4" w:space="0"/>
            </w:tcBorders>
            <w:shd w:val="clear" w:color="auto" w:fill="FFFFFF"/>
            <w:vAlign w:val="center"/>
          </w:tcPr>
          <w:p w14:paraId="6C2BFDB2">
            <w:pPr>
              <w:widowControl/>
              <w:adjustRightInd w:val="0"/>
              <w:jc w:val="center"/>
              <w:rPr>
                <w:rFonts w:ascii="Times New Roman" w:hAnsi="Times New Roman" w:eastAsia="仿宋_GB2312" w:cs="Times New Roman"/>
                <w:sz w:val="24"/>
              </w:rPr>
            </w:pPr>
          </w:p>
        </w:tc>
        <w:tc>
          <w:tcPr>
            <w:tcW w:w="3922" w:type="dxa"/>
            <w:tcBorders>
              <w:top w:val="single" w:color="000000" w:sz="4" w:space="0"/>
              <w:left w:val="single" w:color="auto" w:sz="4" w:space="0"/>
              <w:bottom w:val="single" w:color="000000" w:sz="4" w:space="0"/>
              <w:right w:val="single" w:color="auto" w:sz="4" w:space="0"/>
            </w:tcBorders>
            <w:shd w:val="clear" w:color="auto" w:fill="FFFFFF"/>
            <w:vAlign w:val="center"/>
          </w:tcPr>
          <w:p w14:paraId="0D70C6A1">
            <w:pPr>
              <w:widowControl/>
              <w:adjustRightInd w:val="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rPr>
              <w:t>产值10-30亿元企业（家）</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240F0BDC">
            <w:pPr>
              <w:widowControl/>
              <w:adjustRightInd w:val="0"/>
              <w:jc w:val="center"/>
              <w:rPr>
                <w:rFonts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rPr>
              <w:t>26</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36DA840F">
            <w:pPr>
              <w:widowControl/>
              <w:adjustRightInd w:val="0"/>
              <w:jc w:val="center"/>
              <w:rPr>
                <w:rFonts w:hint="default"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lang w:val="en-US" w:eastAsia="zh-CN"/>
              </w:rPr>
              <w:t>50</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50C812E0">
            <w:pPr>
              <w:widowControl/>
              <w:adjustRightInd w:val="0"/>
              <w:jc w:val="center"/>
              <w:rPr>
                <w:rFonts w:hint="eastAsia"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lang w:eastAsia="zh-CN"/>
              </w:rPr>
              <w:t>累计</w:t>
            </w:r>
          </w:p>
        </w:tc>
      </w:tr>
      <w:tr w14:paraId="0BD46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4" w:type="dxa"/>
            <w:tcBorders>
              <w:top w:val="single" w:color="000000" w:sz="4" w:space="0"/>
              <w:left w:val="single" w:color="auto" w:sz="4" w:space="0"/>
              <w:bottom w:val="single" w:color="000000" w:sz="4" w:space="0"/>
              <w:right w:val="single" w:color="auto" w:sz="4" w:space="0"/>
            </w:tcBorders>
            <w:shd w:val="clear" w:color="auto" w:fill="FFFFFF"/>
            <w:vAlign w:val="center"/>
          </w:tcPr>
          <w:p w14:paraId="014DDB5A">
            <w:pPr>
              <w:widowControl/>
              <w:adjustRightInd w:val="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25</w:t>
            </w:r>
          </w:p>
        </w:tc>
        <w:tc>
          <w:tcPr>
            <w:tcW w:w="666" w:type="dxa"/>
            <w:vMerge w:val="continue"/>
            <w:tcBorders>
              <w:left w:val="single" w:color="auto" w:sz="4" w:space="0"/>
              <w:right w:val="single" w:color="000000" w:sz="4" w:space="0"/>
            </w:tcBorders>
            <w:shd w:val="clear" w:color="auto" w:fill="FFFFFF"/>
            <w:vAlign w:val="center"/>
          </w:tcPr>
          <w:p w14:paraId="4DF16A74">
            <w:pPr>
              <w:widowControl/>
              <w:adjustRightInd w:val="0"/>
              <w:jc w:val="center"/>
              <w:rPr>
                <w:rFonts w:ascii="Times New Roman" w:hAnsi="Times New Roman" w:eastAsia="仿宋_GB2312" w:cs="Times New Roman"/>
                <w:sz w:val="24"/>
              </w:rPr>
            </w:pPr>
          </w:p>
        </w:tc>
        <w:tc>
          <w:tcPr>
            <w:tcW w:w="3922" w:type="dxa"/>
            <w:tcBorders>
              <w:top w:val="single" w:color="000000" w:sz="4" w:space="0"/>
              <w:left w:val="single" w:color="auto" w:sz="4" w:space="0"/>
              <w:bottom w:val="single" w:color="000000" w:sz="4" w:space="0"/>
              <w:right w:val="single" w:color="auto" w:sz="4" w:space="0"/>
            </w:tcBorders>
            <w:shd w:val="clear" w:color="auto" w:fill="FFFFFF"/>
            <w:vAlign w:val="center"/>
          </w:tcPr>
          <w:p w14:paraId="0847C6D4">
            <w:pPr>
              <w:widowControl/>
              <w:adjustRightInd w:val="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rPr>
              <w:t>产值30-50亿元企业（家）</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5E81E0E4">
            <w:pPr>
              <w:widowControl/>
              <w:adjustRightInd w:val="0"/>
              <w:jc w:val="center"/>
              <w:rPr>
                <w:rFonts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rPr>
              <w:t>5</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77C7DC46">
            <w:pPr>
              <w:widowControl/>
              <w:adjustRightInd w:val="0"/>
              <w:jc w:val="center"/>
              <w:rPr>
                <w:rFonts w:hint="default"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lang w:val="en-US" w:eastAsia="zh-CN"/>
              </w:rPr>
              <w:t>15</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46EA7CBD">
            <w:pPr>
              <w:widowControl/>
              <w:adjustRightInd w:val="0"/>
              <w:jc w:val="center"/>
              <w:rPr>
                <w:rFonts w:hint="eastAsia"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lang w:eastAsia="zh-CN"/>
              </w:rPr>
              <w:t>累计</w:t>
            </w:r>
          </w:p>
        </w:tc>
      </w:tr>
      <w:tr w14:paraId="4AB0D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654" w:type="dxa"/>
            <w:tcBorders>
              <w:top w:val="single" w:color="000000" w:sz="4" w:space="0"/>
              <w:left w:val="single" w:color="auto" w:sz="4" w:space="0"/>
              <w:bottom w:val="single" w:color="000000" w:sz="4" w:space="0"/>
              <w:right w:val="single" w:color="auto" w:sz="4" w:space="0"/>
            </w:tcBorders>
            <w:shd w:val="clear" w:color="auto" w:fill="FFFFFF"/>
            <w:vAlign w:val="center"/>
          </w:tcPr>
          <w:p w14:paraId="21DD84DE">
            <w:pPr>
              <w:widowControl/>
              <w:adjustRightInd w:val="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26</w:t>
            </w:r>
          </w:p>
        </w:tc>
        <w:tc>
          <w:tcPr>
            <w:tcW w:w="666" w:type="dxa"/>
            <w:vMerge w:val="continue"/>
            <w:tcBorders>
              <w:left w:val="single" w:color="auto" w:sz="4" w:space="0"/>
              <w:right w:val="single" w:color="000000" w:sz="4" w:space="0"/>
            </w:tcBorders>
            <w:shd w:val="clear" w:color="auto" w:fill="FFFFFF"/>
            <w:vAlign w:val="center"/>
          </w:tcPr>
          <w:p w14:paraId="5F9EDAD9">
            <w:pPr>
              <w:widowControl/>
              <w:adjustRightInd w:val="0"/>
              <w:jc w:val="center"/>
              <w:rPr>
                <w:rFonts w:ascii="Times New Roman" w:hAnsi="Times New Roman" w:eastAsia="仿宋_GB2312" w:cs="Times New Roman"/>
                <w:sz w:val="24"/>
              </w:rPr>
            </w:pPr>
          </w:p>
        </w:tc>
        <w:tc>
          <w:tcPr>
            <w:tcW w:w="3922" w:type="dxa"/>
            <w:tcBorders>
              <w:top w:val="single" w:color="000000" w:sz="4" w:space="0"/>
              <w:left w:val="single" w:color="auto" w:sz="4" w:space="0"/>
              <w:bottom w:val="single" w:color="000000" w:sz="4" w:space="0"/>
              <w:right w:val="single" w:color="auto" w:sz="4" w:space="0"/>
            </w:tcBorders>
            <w:shd w:val="clear" w:color="auto" w:fill="FFFFFF"/>
            <w:vAlign w:val="center"/>
          </w:tcPr>
          <w:p w14:paraId="55BFF218">
            <w:pPr>
              <w:widowControl/>
              <w:adjustRightInd w:val="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rPr>
              <w:t>产值50-80亿元企业（家）</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1CD9B5FD">
            <w:pPr>
              <w:widowControl/>
              <w:adjustRightInd w:val="0"/>
              <w:jc w:val="center"/>
              <w:rPr>
                <w:rFonts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rPr>
              <w:t>1</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36123877">
            <w:pPr>
              <w:widowControl/>
              <w:adjustRightInd w:val="0"/>
              <w:jc w:val="center"/>
              <w:rPr>
                <w:rFonts w:hint="eastAsia"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lang w:val="en-US" w:eastAsia="zh-CN"/>
              </w:rPr>
              <w:t>5</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082B0D81">
            <w:pPr>
              <w:widowControl/>
              <w:adjustRightInd w:val="0"/>
              <w:jc w:val="center"/>
              <w:rPr>
                <w:rFonts w:hint="eastAsia"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lang w:eastAsia="zh-CN"/>
              </w:rPr>
              <w:t>累计</w:t>
            </w:r>
          </w:p>
        </w:tc>
      </w:tr>
      <w:tr w14:paraId="65313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654" w:type="dxa"/>
            <w:tcBorders>
              <w:top w:val="single" w:color="000000" w:sz="4" w:space="0"/>
              <w:left w:val="single" w:color="auto" w:sz="4" w:space="0"/>
              <w:bottom w:val="single" w:color="000000" w:sz="4" w:space="0"/>
              <w:right w:val="single" w:color="auto" w:sz="4" w:space="0"/>
            </w:tcBorders>
            <w:shd w:val="clear" w:color="auto" w:fill="FFFFFF"/>
            <w:vAlign w:val="center"/>
          </w:tcPr>
          <w:p w14:paraId="02BD181A">
            <w:pPr>
              <w:widowControl/>
              <w:adjustRightInd w:val="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27</w:t>
            </w:r>
          </w:p>
        </w:tc>
        <w:tc>
          <w:tcPr>
            <w:tcW w:w="666" w:type="dxa"/>
            <w:vMerge w:val="continue"/>
            <w:tcBorders>
              <w:left w:val="single" w:color="auto" w:sz="4" w:space="0"/>
              <w:right w:val="single" w:color="000000" w:sz="4" w:space="0"/>
            </w:tcBorders>
            <w:shd w:val="clear" w:color="auto" w:fill="FFFFFF"/>
            <w:vAlign w:val="center"/>
          </w:tcPr>
          <w:p w14:paraId="3F0F7A82">
            <w:pPr>
              <w:widowControl/>
              <w:adjustRightInd w:val="0"/>
              <w:jc w:val="center"/>
              <w:rPr>
                <w:rFonts w:ascii="Times New Roman" w:hAnsi="Times New Roman" w:eastAsia="仿宋_GB2312" w:cs="Times New Roman"/>
                <w:sz w:val="24"/>
              </w:rPr>
            </w:pPr>
          </w:p>
        </w:tc>
        <w:tc>
          <w:tcPr>
            <w:tcW w:w="3922" w:type="dxa"/>
            <w:tcBorders>
              <w:top w:val="single" w:color="000000" w:sz="4" w:space="0"/>
              <w:left w:val="single" w:color="auto" w:sz="4" w:space="0"/>
              <w:bottom w:val="single" w:color="000000" w:sz="4" w:space="0"/>
              <w:right w:val="single" w:color="auto" w:sz="4" w:space="0"/>
            </w:tcBorders>
            <w:shd w:val="clear" w:color="auto" w:fill="FFFFFF"/>
            <w:vAlign w:val="center"/>
          </w:tcPr>
          <w:p w14:paraId="2AAB571D">
            <w:pPr>
              <w:widowControl/>
              <w:adjustRightInd w:val="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rPr>
              <w:t>产值80-100亿元企业（家）</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31097097">
            <w:pPr>
              <w:widowControl/>
              <w:adjustRightInd w:val="0"/>
              <w:jc w:val="center"/>
              <w:rPr>
                <w:rFonts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rPr>
              <w:t>1</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6099D0B5">
            <w:pPr>
              <w:widowControl/>
              <w:adjustRightInd w:val="0"/>
              <w:jc w:val="center"/>
              <w:rPr>
                <w:rFonts w:hint="eastAsia"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lang w:val="en-US" w:eastAsia="zh-CN"/>
              </w:rPr>
              <w:t>5</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61033EA7">
            <w:pPr>
              <w:widowControl/>
              <w:adjustRightInd w:val="0"/>
              <w:jc w:val="center"/>
              <w:rPr>
                <w:rFonts w:hint="eastAsia"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lang w:eastAsia="zh-CN"/>
              </w:rPr>
              <w:t>累计</w:t>
            </w:r>
          </w:p>
        </w:tc>
      </w:tr>
      <w:tr w14:paraId="72930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4" w:type="dxa"/>
            <w:tcBorders>
              <w:top w:val="single" w:color="000000" w:sz="4" w:space="0"/>
              <w:left w:val="single" w:color="auto" w:sz="4" w:space="0"/>
              <w:bottom w:val="single" w:color="000000" w:sz="4" w:space="0"/>
              <w:right w:val="single" w:color="auto" w:sz="4" w:space="0"/>
            </w:tcBorders>
            <w:shd w:val="clear" w:color="auto" w:fill="FFFFFF"/>
            <w:vAlign w:val="center"/>
          </w:tcPr>
          <w:p w14:paraId="069A69AF">
            <w:pPr>
              <w:widowControl/>
              <w:adjustRightInd w:val="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lang w:val="en-US" w:eastAsia="zh-CN"/>
              </w:rPr>
              <w:t>28</w:t>
            </w:r>
          </w:p>
        </w:tc>
        <w:tc>
          <w:tcPr>
            <w:tcW w:w="666" w:type="dxa"/>
            <w:vMerge w:val="continue"/>
            <w:tcBorders>
              <w:left w:val="single" w:color="auto" w:sz="4" w:space="0"/>
              <w:right w:val="single" w:color="000000" w:sz="4" w:space="0"/>
            </w:tcBorders>
            <w:shd w:val="clear" w:color="auto" w:fill="FFFFFF"/>
            <w:vAlign w:val="center"/>
          </w:tcPr>
          <w:p w14:paraId="3D229A41">
            <w:pPr>
              <w:widowControl/>
              <w:adjustRightInd w:val="0"/>
              <w:jc w:val="center"/>
              <w:rPr>
                <w:rFonts w:ascii="Times New Roman" w:hAnsi="Times New Roman" w:eastAsia="仿宋_GB2312" w:cs="Times New Roman"/>
                <w:sz w:val="24"/>
              </w:rPr>
            </w:pPr>
          </w:p>
        </w:tc>
        <w:tc>
          <w:tcPr>
            <w:tcW w:w="3922" w:type="dxa"/>
            <w:tcBorders>
              <w:top w:val="single" w:color="000000" w:sz="4" w:space="0"/>
              <w:left w:val="single" w:color="auto" w:sz="4" w:space="0"/>
              <w:bottom w:val="single" w:color="000000" w:sz="4" w:space="0"/>
              <w:right w:val="single" w:color="auto" w:sz="4" w:space="0"/>
            </w:tcBorders>
            <w:shd w:val="clear" w:color="auto" w:fill="FFFFFF"/>
            <w:vAlign w:val="center"/>
          </w:tcPr>
          <w:p w14:paraId="4038B274">
            <w:pPr>
              <w:widowControl/>
              <w:adjustRightInd w:val="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rPr>
              <w:t>产值100亿元以上企业（家）</w:t>
            </w:r>
          </w:p>
        </w:tc>
        <w:tc>
          <w:tcPr>
            <w:tcW w:w="1128" w:type="dxa"/>
            <w:tcBorders>
              <w:top w:val="single" w:color="000000" w:sz="4" w:space="0"/>
              <w:left w:val="nil"/>
              <w:bottom w:val="single" w:color="000000" w:sz="4" w:space="0"/>
              <w:right w:val="single" w:color="000000" w:sz="4" w:space="0"/>
            </w:tcBorders>
            <w:shd w:val="clear" w:color="auto" w:fill="FFFFFF"/>
            <w:vAlign w:val="center"/>
          </w:tcPr>
          <w:p w14:paraId="0C38D9F8">
            <w:pPr>
              <w:widowControl/>
              <w:adjustRightInd w:val="0"/>
              <w:jc w:val="center"/>
              <w:rPr>
                <w:rFonts w:hint="eastAsia"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lang w:val="en-US" w:eastAsia="zh-CN"/>
              </w:rPr>
              <w:t>2</w:t>
            </w:r>
          </w:p>
        </w:tc>
        <w:tc>
          <w:tcPr>
            <w:tcW w:w="1125" w:type="dxa"/>
            <w:tcBorders>
              <w:top w:val="single" w:color="000000" w:sz="4" w:space="0"/>
              <w:left w:val="nil"/>
              <w:bottom w:val="single" w:color="000000" w:sz="4" w:space="0"/>
              <w:right w:val="single" w:color="000000" w:sz="4" w:space="0"/>
            </w:tcBorders>
            <w:shd w:val="clear" w:color="auto" w:fill="FFFFFF"/>
            <w:vAlign w:val="center"/>
          </w:tcPr>
          <w:p w14:paraId="3C7F4CB9">
            <w:pPr>
              <w:widowControl/>
              <w:adjustRightInd w:val="0"/>
              <w:jc w:val="center"/>
              <w:rPr>
                <w:rFonts w:hint="eastAsia"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lang w:val="en-US" w:eastAsia="zh-CN"/>
              </w:rPr>
              <w:t>5</w:t>
            </w:r>
          </w:p>
        </w:tc>
        <w:tc>
          <w:tcPr>
            <w:tcW w:w="1249" w:type="dxa"/>
            <w:tcBorders>
              <w:top w:val="single" w:color="000000" w:sz="4" w:space="0"/>
              <w:left w:val="nil"/>
              <w:bottom w:val="single" w:color="000000" w:sz="4" w:space="0"/>
              <w:right w:val="single" w:color="000000" w:sz="4" w:space="0"/>
            </w:tcBorders>
            <w:shd w:val="clear" w:color="auto" w:fill="FFFFFF"/>
            <w:vAlign w:val="center"/>
          </w:tcPr>
          <w:p w14:paraId="0536774B">
            <w:pPr>
              <w:widowControl/>
              <w:adjustRightInd w:val="0"/>
              <w:jc w:val="center"/>
              <w:rPr>
                <w:rFonts w:hint="eastAsia"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lang w:eastAsia="zh-CN"/>
              </w:rPr>
              <w:t>累计</w:t>
            </w:r>
          </w:p>
        </w:tc>
      </w:tr>
    </w:tbl>
    <w:p w14:paraId="238D8410">
      <w:pPr>
        <w:ind w:firstLine="640" w:firstLineChars="200"/>
        <w:outlineLvl w:val="9"/>
        <w:rPr>
          <w:rFonts w:hint="eastAsia" w:ascii="黑体" w:hAnsi="黑体" w:eastAsia="黑体" w:cs="黑体"/>
          <w:sz w:val="32"/>
          <w:szCs w:val="32"/>
        </w:rPr>
      </w:pPr>
    </w:p>
    <w:p w14:paraId="00654382">
      <w:pPr>
        <w:ind w:firstLine="640" w:firstLineChars="200"/>
        <w:outlineLvl w:val="0"/>
        <w:rPr>
          <w:rFonts w:hint="eastAsia" w:ascii="黑体" w:hAnsi="黑体" w:eastAsia="黑体" w:cs="黑体"/>
          <w:sz w:val="32"/>
          <w:szCs w:val="32"/>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bookmarkStart w:id="170" w:name="_Toc15151"/>
      <w:bookmarkStart w:id="171" w:name="_Toc29678"/>
      <w:bookmarkStart w:id="172" w:name="_Toc30310"/>
      <w:bookmarkStart w:id="173" w:name="_Toc29154"/>
      <w:bookmarkStart w:id="174" w:name="_Toc3254"/>
      <w:bookmarkStart w:id="175" w:name="_Toc16888"/>
      <w:bookmarkStart w:id="176" w:name="_Toc28771"/>
      <w:bookmarkStart w:id="177" w:name="_Toc16196"/>
    </w:p>
    <w:p w14:paraId="0408A5F9">
      <w:pPr>
        <w:spacing w:line="600" w:lineRule="exact"/>
        <w:ind w:firstLine="640" w:firstLineChars="200"/>
        <w:outlineLvl w:val="0"/>
        <w:rPr>
          <w:rFonts w:ascii="黑体" w:hAnsi="黑体" w:eastAsia="黑体" w:cs="黑体"/>
          <w:sz w:val="32"/>
          <w:szCs w:val="32"/>
        </w:rPr>
      </w:pPr>
      <w:bookmarkStart w:id="178" w:name="_Toc8010"/>
      <w:r>
        <w:rPr>
          <w:rFonts w:hint="eastAsia" w:ascii="黑体" w:hAnsi="黑体" w:eastAsia="黑体" w:cs="黑体"/>
          <w:sz w:val="32"/>
          <w:szCs w:val="32"/>
        </w:rPr>
        <w:t>三、工业发展重点领域</w:t>
      </w:r>
      <w:bookmarkEnd w:id="169"/>
      <w:bookmarkEnd w:id="170"/>
      <w:bookmarkEnd w:id="171"/>
      <w:bookmarkEnd w:id="172"/>
      <w:bookmarkEnd w:id="173"/>
      <w:bookmarkEnd w:id="174"/>
      <w:bookmarkEnd w:id="175"/>
      <w:bookmarkEnd w:id="176"/>
      <w:bookmarkEnd w:id="177"/>
      <w:bookmarkEnd w:id="178"/>
    </w:p>
    <w:p w14:paraId="7E167D6E">
      <w:pPr>
        <w:pStyle w:val="9"/>
        <w:spacing w:line="600" w:lineRule="exact"/>
        <w:ind w:firstLine="640" w:firstLineChars="200"/>
        <w:jc w:val="both"/>
        <w:rPr>
          <w:rStyle w:val="34"/>
          <w:rFonts w:hint="default" w:hAnsi="Times New Roman" w:cs="Times New Roman"/>
        </w:rPr>
      </w:pPr>
      <w:r>
        <w:rPr>
          <w:rStyle w:val="34"/>
          <w:rFonts w:hint="default" w:hAnsi="Times New Roman" w:cs="Times New Roman"/>
        </w:rPr>
        <w:t>依托现有产业基础，紧抓长三角一体化战略机遇，按照创新驱动、龙头带动、链式布局、开放融合、集群发展、绿色低碳的思路，</w:t>
      </w:r>
      <w:r>
        <w:rPr>
          <w:rStyle w:val="34"/>
          <w:rFonts w:hint="eastAsia" w:hAnsi="Times New Roman" w:eastAsia="仿宋_GB2312" w:cs="Times New Roman"/>
          <w:lang w:val="en-US" w:eastAsia="zh-CN"/>
        </w:rPr>
        <w:t>围绕</w:t>
      </w:r>
      <w:r>
        <w:rPr>
          <w:rStyle w:val="34"/>
          <w:rFonts w:hint="eastAsia" w:hAnsi="Times New Roman" w:eastAsia="仿宋_GB2312" w:cs="Times New Roman"/>
          <w:lang w:eastAsia="zh-CN"/>
        </w:rPr>
        <w:t>十大特色</w:t>
      </w:r>
      <w:r>
        <w:rPr>
          <w:rStyle w:val="34"/>
          <w:rFonts w:hint="default" w:hAnsi="Times New Roman" w:cs="Times New Roman"/>
        </w:rPr>
        <w:t>产业发展格局，进一步聚焦工业</w:t>
      </w:r>
      <w:r>
        <w:rPr>
          <w:rStyle w:val="34"/>
          <w:rFonts w:hint="eastAsia" w:hAnsi="Times New Roman" w:eastAsia="仿宋_GB2312" w:cs="Times New Roman"/>
          <w:lang w:eastAsia="zh-CN"/>
        </w:rPr>
        <w:t>重点</w:t>
      </w:r>
      <w:r>
        <w:rPr>
          <w:rStyle w:val="34"/>
          <w:rFonts w:hint="default" w:hAnsi="Times New Roman" w:cs="Times New Roman"/>
        </w:rPr>
        <w:t>领域精准发力，协同发展区域特色产业，</w:t>
      </w:r>
      <w:r>
        <w:rPr>
          <w:rStyle w:val="34"/>
          <w:rFonts w:hint="eastAsia" w:hAnsi="Times New Roman" w:eastAsia="仿宋_GB2312" w:cs="Times New Roman"/>
          <w:lang w:eastAsia="zh-CN"/>
        </w:rPr>
        <w:t>加快</w:t>
      </w:r>
      <w:r>
        <w:rPr>
          <w:rStyle w:val="34"/>
          <w:rFonts w:hint="default" w:hAnsi="Times New Roman" w:cs="Times New Roman"/>
        </w:rPr>
        <w:t>构建“8+N”现代工业体系。</w:t>
      </w:r>
    </w:p>
    <w:p w14:paraId="062DCE13">
      <w:pPr>
        <w:spacing w:line="600" w:lineRule="exact"/>
        <w:ind w:firstLine="643" w:firstLineChars="200"/>
        <w:outlineLvl w:val="1"/>
        <w:rPr>
          <w:rFonts w:ascii="楷体_GB2312" w:hAnsi="楷体_GB2312" w:eastAsia="楷体_GB2312" w:cs="楷体_GB2312"/>
          <w:b/>
          <w:bCs/>
          <w:sz w:val="32"/>
          <w:szCs w:val="32"/>
        </w:rPr>
      </w:pPr>
      <w:bookmarkStart w:id="179" w:name="_Toc11127"/>
      <w:bookmarkStart w:id="180" w:name="_Toc21275"/>
      <w:bookmarkStart w:id="181" w:name="_Toc12598"/>
      <w:bookmarkStart w:id="182" w:name="_Toc19689"/>
      <w:bookmarkStart w:id="183" w:name="_Toc4289"/>
      <w:bookmarkStart w:id="184" w:name="_Toc6692"/>
      <w:bookmarkStart w:id="185" w:name="_Toc22176"/>
      <w:bookmarkStart w:id="186" w:name="_Toc19372"/>
      <w:bookmarkStart w:id="187" w:name="_Toc21497"/>
      <w:bookmarkStart w:id="188" w:name="_Toc1077"/>
      <w:bookmarkStart w:id="189" w:name="_Toc30453"/>
      <w:r>
        <w:rPr>
          <w:rFonts w:hint="eastAsia" w:ascii="楷体_GB2312" w:hAnsi="楷体_GB2312" w:eastAsia="楷体_GB2312" w:cs="楷体_GB2312"/>
          <w:b/>
          <w:bCs/>
          <w:sz w:val="32"/>
          <w:szCs w:val="32"/>
        </w:rPr>
        <w:t>（一）</w:t>
      </w:r>
      <w:r>
        <w:rPr>
          <w:rFonts w:hint="eastAsia" w:ascii="楷体_GB2312" w:hAnsi="楷体_GB2312" w:eastAsia="楷体_GB2312" w:cs="楷体_GB2312"/>
          <w:b/>
          <w:bCs/>
          <w:sz w:val="32"/>
          <w:szCs w:val="32"/>
          <w:lang w:val="en-US" w:eastAsia="zh-CN"/>
        </w:rPr>
        <w:t>新能源和</w:t>
      </w:r>
      <w:r>
        <w:rPr>
          <w:rFonts w:hint="eastAsia" w:ascii="楷体_GB2312" w:hAnsi="楷体_GB2312" w:eastAsia="楷体_GB2312" w:cs="楷体_GB2312"/>
          <w:b/>
          <w:bCs/>
          <w:sz w:val="32"/>
          <w:szCs w:val="32"/>
        </w:rPr>
        <w:t>节能环保产业</w:t>
      </w:r>
      <w:bookmarkEnd w:id="179"/>
      <w:bookmarkEnd w:id="180"/>
      <w:bookmarkEnd w:id="181"/>
      <w:bookmarkEnd w:id="182"/>
      <w:bookmarkEnd w:id="183"/>
      <w:bookmarkEnd w:id="184"/>
      <w:bookmarkEnd w:id="185"/>
      <w:bookmarkEnd w:id="186"/>
      <w:bookmarkEnd w:id="187"/>
      <w:bookmarkEnd w:id="188"/>
      <w:bookmarkEnd w:id="189"/>
    </w:p>
    <w:p w14:paraId="76D630E7">
      <w:pPr>
        <w:spacing w:line="600" w:lineRule="exact"/>
        <w:ind w:firstLine="643" w:firstLineChars="200"/>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rPr>
        <w:t>1.发展目标</w:t>
      </w:r>
    </w:p>
    <w:p w14:paraId="5DE90FF9">
      <w:pPr>
        <w:spacing w:line="600" w:lineRule="exact"/>
        <w:ind w:firstLine="640" w:firstLineChars="200"/>
        <w:rPr>
          <w:rFonts w:ascii="Times New Roman" w:hAnsi="Times New Roman" w:eastAsia="仿宋_GB2312"/>
          <w:sz w:val="32"/>
          <w:szCs w:val="32"/>
        </w:rPr>
      </w:pPr>
      <w:r>
        <w:rPr>
          <w:rFonts w:hint="eastAsia" w:ascii="仿宋_GB2312" w:hAnsi="仿宋_GB2312" w:eastAsia="仿宋_GB2312" w:cs="仿宋_GB2312"/>
          <w:sz w:val="32"/>
          <w:szCs w:val="32"/>
        </w:rPr>
        <w:t>响应“碳达峰”“碳中和”目标，优化能源结构，</w:t>
      </w:r>
      <w:r>
        <w:rPr>
          <w:rFonts w:hint="eastAsia" w:ascii="仿宋_GB2312" w:hAnsi="仿宋_GB2312" w:eastAsia="仿宋_GB2312" w:cs="仿宋_GB2312"/>
          <w:sz w:val="32"/>
          <w:szCs w:val="32"/>
          <w:lang w:val="en-US" w:eastAsia="zh-CN"/>
        </w:rPr>
        <w:t>促进资源循环利用，</w:t>
      </w:r>
      <w:r>
        <w:rPr>
          <w:rFonts w:hint="eastAsia" w:ascii="仿宋_GB2312" w:hAnsi="仿宋_GB2312" w:eastAsia="仿宋_GB2312" w:cs="仿宋_GB2312"/>
          <w:sz w:val="32"/>
          <w:szCs w:val="32"/>
        </w:rPr>
        <w:t>进一步开发</w:t>
      </w:r>
      <w:r>
        <w:rPr>
          <w:rFonts w:hint="eastAsia" w:ascii="仿宋_GB2312" w:hAnsi="仿宋_GB2312" w:eastAsia="仿宋_GB2312" w:cs="仿宋_GB2312"/>
          <w:sz w:val="32"/>
          <w:szCs w:val="32"/>
          <w:lang w:val="en-US" w:eastAsia="zh-CN"/>
        </w:rPr>
        <w:t>并形成</w:t>
      </w:r>
      <w:r>
        <w:rPr>
          <w:rFonts w:hint="eastAsia" w:ascii="仿宋_GB2312" w:hAnsi="仿宋_GB2312" w:eastAsia="仿宋_GB2312" w:cs="仿宋_GB2312"/>
          <w:sz w:val="32"/>
          <w:szCs w:val="32"/>
        </w:rPr>
        <w:t>风电、光电、火电、热电、储能、氢能、生物质能“七位一体”的新能源产业</w:t>
      </w:r>
      <w:r>
        <w:rPr>
          <w:rFonts w:hint="eastAsia" w:ascii="仿宋_GB2312" w:hAnsi="仿宋_GB2312" w:eastAsia="仿宋_GB2312" w:cs="仿宋_GB2312"/>
          <w:sz w:val="32"/>
          <w:szCs w:val="32"/>
          <w:lang w:val="en-US" w:eastAsia="zh-CN"/>
        </w:rPr>
        <w:t>格局</w:t>
      </w:r>
      <w:r>
        <w:rPr>
          <w:rFonts w:hint="eastAsia" w:ascii="仿宋_GB2312" w:hAnsi="仿宋_GB2312" w:eastAsia="仿宋_GB2312" w:cs="仿宋_GB2312"/>
          <w:sz w:val="32"/>
          <w:szCs w:val="32"/>
          <w:lang w:eastAsia="zh-CN"/>
        </w:rPr>
        <w:t>，</w:t>
      </w:r>
      <w:r>
        <w:rPr>
          <w:rFonts w:hint="eastAsia" w:ascii="Times New Roman" w:hAnsi="Times New Roman" w:eastAsia="仿宋_GB2312"/>
          <w:sz w:val="32"/>
          <w:szCs w:val="32"/>
        </w:rPr>
        <w:t>重点发展再生铅、再生铝、再生铜</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再生塑料、秸秆综合利用等</w:t>
      </w:r>
      <w:r>
        <w:rPr>
          <w:rFonts w:hint="eastAsia" w:ascii="Times New Roman" w:hAnsi="Times New Roman" w:eastAsia="仿宋_GB2312"/>
          <w:sz w:val="32"/>
          <w:szCs w:val="32"/>
          <w:lang w:val="en-US" w:eastAsia="zh-CN"/>
        </w:rPr>
        <w:t>节能环保</w:t>
      </w:r>
      <w:r>
        <w:rPr>
          <w:rFonts w:hint="eastAsia" w:ascii="Times New Roman" w:hAnsi="Times New Roman" w:eastAsia="仿宋_GB2312"/>
          <w:sz w:val="32"/>
          <w:szCs w:val="32"/>
        </w:rPr>
        <w:t>细分产业，</w:t>
      </w:r>
      <w:r>
        <w:rPr>
          <w:rFonts w:hint="eastAsia" w:ascii="仿宋_GB2312" w:hAnsi="仿宋_GB2312" w:eastAsia="仿宋_GB2312" w:cs="仿宋_GB2312"/>
          <w:sz w:val="32"/>
          <w:szCs w:val="32"/>
        </w:rPr>
        <w:t>到2025年，我市新能源得到进一步开发和利用，建成中原地区新能源基地</w:t>
      </w:r>
      <w:r>
        <w:rPr>
          <w:rFonts w:hint="eastAsia" w:ascii="仿宋_GB2312" w:hAnsi="仿宋_GB2312" w:eastAsia="仿宋_GB2312" w:cs="仿宋_GB2312"/>
          <w:sz w:val="32"/>
          <w:szCs w:val="32"/>
          <w:lang w:eastAsia="zh-CN"/>
        </w:rPr>
        <w:t>；</w:t>
      </w:r>
      <w:r>
        <w:rPr>
          <w:rFonts w:hint="eastAsia" w:ascii="Times New Roman" w:hAnsi="Times New Roman" w:eastAsia="仿宋_GB2312"/>
          <w:sz w:val="32"/>
          <w:szCs w:val="32"/>
        </w:rPr>
        <w:t>形成布局合理、特色鲜明、功能完善、创新能力强的节能环保产业体系，建成国内重要的资源循环利用产业示范基地</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年产值超过100亿元的企业达到</w:t>
      </w:r>
      <w:r>
        <w:rPr>
          <w:rFonts w:hint="eastAsia" w:ascii="Times New Roman" w:hAnsi="Times New Roman" w:eastAsia="仿宋_GB2312"/>
          <w:sz w:val="32"/>
          <w:szCs w:val="32"/>
          <w:lang w:val="en-US" w:eastAsia="zh-CN"/>
        </w:rPr>
        <w:t>4</w:t>
      </w:r>
      <w:r>
        <w:rPr>
          <w:rFonts w:hint="eastAsia" w:ascii="Times New Roman" w:hAnsi="Times New Roman" w:eastAsia="仿宋_GB2312"/>
          <w:sz w:val="32"/>
          <w:szCs w:val="32"/>
        </w:rPr>
        <w:t>家，产业总产值</w:t>
      </w:r>
      <w:r>
        <w:rPr>
          <w:rFonts w:hint="eastAsia" w:ascii="Times New Roman" w:hAnsi="Times New Roman" w:eastAsia="仿宋_GB2312"/>
          <w:sz w:val="32"/>
          <w:szCs w:val="32"/>
          <w:lang w:val="en-US" w:eastAsia="zh-CN"/>
        </w:rPr>
        <w:t>达到2000亿元</w:t>
      </w:r>
      <w:r>
        <w:rPr>
          <w:rFonts w:hint="eastAsia" w:ascii="Times New Roman" w:hAnsi="Times New Roman" w:eastAsia="仿宋_GB2312"/>
          <w:sz w:val="32"/>
          <w:szCs w:val="32"/>
        </w:rPr>
        <w:t>。</w:t>
      </w:r>
    </w:p>
    <w:p w14:paraId="434C2591">
      <w:pPr>
        <w:spacing w:line="600" w:lineRule="exact"/>
        <w:ind w:firstLine="643" w:firstLineChars="200"/>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rPr>
        <w:t>2.发展现状</w:t>
      </w:r>
    </w:p>
    <w:p w14:paraId="0690094C">
      <w:pPr>
        <w:spacing w:line="600" w:lineRule="exact"/>
        <w:ind w:firstLine="640" w:firstLineChars="200"/>
        <w:rPr>
          <w:rFonts w:hint="eastAsia" w:ascii="Times New Roman" w:hAnsi="Times New Roman" w:eastAsia="仿宋_GB2312"/>
          <w:sz w:val="32"/>
          <w:szCs w:val="32"/>
        </w:rPr>
      </w:pPr>
      <w:r>
        <w:rPr>
          <w:rFonts w:hint="eastAsia" w:ascii="仿宋_GB2312" w:hAnsi="仿宋_GB2312" w:eastAsia="仿宋_GB2312" w:cs="仿宋_GB2312"/>
          <w:sz w:val="32"/>
          <w:szCs w:val="32"/>
        </w:rPr>
        <w:t>我市属于太阳能资源“丰富带”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太阳能资源空间分布呈南北高中部低的趋势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风能、火电基础良好，三峡能源阜阳市南部风光储基地、安徽省重点项目刘庄低热值煤电厂重大技术装备首台（套）示范项目</w:t>
      </w:r>
      <w:r>
        <w:rPr>
          <w:rFonts w:hint="eastAsia" w:ascii="仿宋_GB2312" w:hAnsi="仿宋_GB2312" w:eastAsia="仿宋_GB2312" w:cs="仿宋_GB2312"/>
          <w:sz w:val="32"/>
          <w:szCs w:val="32"/>
          <w:lang w:val="en-US" w:eastAsia="zh-CN"/>
        </w:rPr>
        <w:t>等在加快实施</w:t>
      </w:r>
      <w:r>
        <w:rPr>
          <w:rFonts w:hint="eastAsia" w:ascii="仿宋_GB2312" w:hAnsi="仿宋_GB2312" w:eastAsia="仿宋_GB2312" w:cs="仿宋_GB2312"/>
          <w:sz w:val="32"/>
          <w:szCs w:val="32"/>
        </w:rPr>
        <w:t>；生物质能资源丰富，</w:t>
      </w:r>
      <w:r>
        <w:rPr>
          <w:rFonts w:hint="eastAsia" w:ascii="仿宋_GB2312" w:hAnsi="仿宋_GB2312" w:eastAsia="仿宋_GB2312" w:cs="仿宋_GB2312"/>
          <w:sz w:val="32"/>
          <w:szCs w:val="32"/>
          <w:lang w:val="en-US" w:eastAsia="zh-CN"/>
        </w:rPr>
        <w:t>我市处于</w:t>
      </w:r>
      <w:r>
        <w:rPr>
          <w:rFonts w:hint="eastAsia" w:ascii="仿宋_GB2312" w:hAnsi="仿宋_GB2312" w:eastAsia="仿宋_GB2312" w:cs="仿宋_GB2312"/>
          <w:sz w:val="32"/>
          <w:szCs w:val="32"/>
        </w:rPr>
        <w:t>安徽省生物天然气产业发展的重点区域。</w:t>
      </w:r>
    </w:p>
    <w:p w14:paraId="2DF33574">
      <w:pPr>
        <w:spacing w:line="6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我市节能环保产业经过多年发展，已基本形成以阜阳界首高新技术产业开发区和太和经济开发区为中心的产业空间格局，以再生金属为主</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再生塑料和秸秆资源利用齐头并进的特色产业体系，2020年全市节能环保产业总产值达682.8亿元，为推动全市</w:t>
      </w:r>
      <w:r>
        <w:rPr>
          <w:rFonts w:hint="eastAsia" w:ascii="Times New Roman" w:hAnsi="Times New Roman" w:eastAsia="仿宋_GB2312"/>
          <w:sz w:val="32"/>
          <w:szCs w:val="32"/>
          <w:lang w:val="en-US" w:eastAsia="zh-CN"/>
        </w:rPr>
        <w:t>节能环保产业做大做强</w:t>
      </w:r>
      <w:r>
        <w:rPr>
          <w:rFonts w:hint="eastAsia" w:ascii="Times New Roman" w:hAnsi="Times New Roman" w:eastAsia="仿宋_GB2312"/>
          <w:sz w:val="32"/>
          <w:szCs w:val="32"/>
        </w:rPr>
        <w:t>提供了</w:t>
      </w:r>
      <w:r>
        <w:rPr>
          <w:rFonts w:hint="eastAsia" w:ascii="Times New Roman" w:hAnsi="Times New Roman" w:eastAsia="仿宋_GB2312"/>
          <w:sz w:val="32"/>
          <w:szCs w:val="32"/>
          <w:lang w:val="en-US" w:eastAsia="zh-CN"/>
        </w:rPr>
        <w:t>非常坚实的基础</w:t>
      </w:r>
      <w:r>
        <w:rPr>
          <w:rFonts w:hint="eastAsia" w:ascii="Times New Roman" w:hAnsi="Times New Roman" w:eastAsia="仿宋_GB2312"/>
          <w:sz w:val="32"/>
          <w:szCs w:val="32"/>
        </w:rPr>
        <w:t>。</w:t>
      </w:r>
    </w:p>
    <w:p w14:paraId="70C14098">
      <w:pPr>
        <w:spacing w:line="6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lang w:val="en-US" w:eastAsia="zh-CN"/>
        </w:rPr>
        <w:t>虽然我市新能源和节能环保产业发展已取得一定的成效，</w:t>
      </w:r>
      <w:r>
        <w:rPr>
          <w:rFonts w:hint="eastAsia" w:ascii="Times New Roman" w:hAnsi="Times New Roman" w:eastAsia="仿宋_GB2312"/>
          <w:sz w:val="32"/>
          <w:szCs w:val="32"/>
        </w:rPr>
        <w:t>但</w:t>
      </w:r>
      <w:r>
        <w:rPr>
          <w:rFonts w:hint="eastAsia" w:ascii="仿宋_GB2312" w:hAnsi="仿宋_GB2312" w:eastAsia="仿宋_GB2312" w:cs="仿宋_GB2312"/>
          <w:sz w:val="32"/>
          <w:szCs w:val="32"/>
        </w:rPr>
        <w:t>仍存在</w:t>
      </w:r>
      <w:r>
        <w:rPr>
          <w:rFonts w:hint="eastAsia" w:ascii="仿宋_GB2312" w:hAnsi="仿宋_GB2312" w:eastAsia="仿宋_GB2312" w:cs="仿宋_GB2312"/>
          <w:sz w:val="32"/>
          <w:szCs w:val="32"/>
          <w:lang w:val="en-US" w:eastAsia="zh-CN"/>
        </w:rPr>
        <w:t>一些问题。新能源产业中</w:t>
      </w:r>
      <w:r>
        <w:rPr>
          <w:rFonts w:hint="eastAsia" w:ascii="仿宋_GB2312" w:hAnsi="仿宋_GB2312" w:eastAsia="仿宋_GB2312" w:cs="仿宋_GB2312"/>
          <w:sz w:val="32"/>
          <w:szCs w:val="32"/>
        </w:rPr>
        <w:t>能源结构性矛盾突出，清洁能源占比较低，</w:t>
      </w:r>
      <w:r>
        <w:rPr>
          <w:rFonts w:hint="eastAsia" w:ascii="仿宋_GB2312" w:hAnsi="仿宋_GB2312" w:eastAsia="仿宋_GB2312" w:cs="仿宋_GB2312"/>
          <w:sz w:val="32"/>
          <w:szCs w:val="32"/>
          <w:lang w:val="en-US" w:eastAsia="zh-CN"/>
        </w:rPr>
        <w:t>煤炭占一次性能源消费比例较重</w:t>
      </w:r>
      <w:r>
        <w:rPr>
          <w:rFonts w:hint="eastAsia" w:ascii="仿宋_GB2312" w:hAnsi="仿宋_GB2312" w:eastAsia="仿宋_GB2312" w:cs="仿宋_GB2312"/>
          <w:sz w:val="32"/>
          <w:szCs w:val="32"/>
          <w:lang w:eastAsia="zh-CN"/>
        </w:rPr>
        <w:t>。</w:t>
      </w:r>
      <w:r>
        <w:rPr>
          <w:rFonts w:hint="eastAsia" w:ascii="Times New Roman" w:hAnsi="Times New Roman" w:eastAsia="仿宋_GB2312"/>
          <w:sz w:val="32"/>
          <w:szCs w:val="32"/>
        </w:rPr>
        <w:t>节能环保产业</w:t>
      </w:r>
      <w:r>
        <w:rPr>
          <w:rFonts w:hint="eastAsia" w:ascii="Times New Roman" w:hAnsi="Times New Roman" w:eastAsia="仿宋_GB2312"/>
          <w:sz w:val="32"/>
          <w:szCs w:val="32"/>
          <w:lang w:val="en-US" w:eastAsia="zh-CN"/>
        </w:rPr>
        <w:t>中</w:t>
      </w:r>
      <w:r>
        <w:rPr>
          <w:rFonts w:hint="eastAsia" w:ascii="Times New Roman" w:hAnsi="Times New Roman" w:eastAsia="仿宋_GB2312"/>
          <w:sz w:val="32"/>
          <w:szCs w:val="32"/>
        </w:rPr>
        <w:t>虽已聚集了华铂、天能等龙头企业，但创新能力、品牌价值与国内一流企业</w:t>
      </w:r>
      <w:r>
        <w:rPr>
          <w:rFonts w:hint="eastAsia" w:ascii="Times New Roman" w:hAnsi="Times New Roman" w:eastAsia="仿宋_GB2312"/>
          <w:sz w:val="32"/>
          <w:szCs w:val="32"/>
          <w:lang w:val="en-US" w:eastAsia="zh-CN"/>
        </w:rPr>
        <w:t>相比</w:t>
      </w:r>
      <w:r>
        <w:rPr>
          <w:rFonts w:hint="eastAsia" w:ascii="Times New Roman" w:hAnsi="Times New Roman" w:eastAsia="仿宋_GB2312"/>
          <w:sz w:val="32"/>
          <w:szCs w:val="32"/>
        </w:rPr>
        <w:t>差距较大，对行业的拉动效应不足，辐射能力有限</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产业链</w:t>
      </w:r>
      <w:r>
        <w:rPr>
          <w:rFonts w:hint="eastAsia" w:ascii="Times New Roman" w:hAnsi="Times New Roman" w:eastAsia="仿宋_GB2312"/>
          <w:sz w:val="32"/>
          <w:szCs w:val="32"/>
          <w:lang w:val="en-US" w:eastAsia="zh-CN"/>
        </w:rPr>
        <w:t>下</w:t>
      </w:r>
      <w:r>
        <w:rPr>
          <w:rFonts w:hint="eastAsia" w:ascii="Times New Roman" w:hAnsi="Times New Roman" w:eastAsia="仿宋_GB2312"/>
          <w:sz w:val="32"/>
          <w:szCs w:val="32"/>
        </w:rPr>
        <w:t>游回收体系不健全、不规范</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下游产品附加值较低，亟需挖掘新的经济增长点。</w:t>
      </w:r>
    </w:p>
    <w:p w14:paraId="6B7870F5">
      <w:pPr>
        <w:widowControl/>
        <w:spacing w:line="600" w:lineRule="exact"/>
        <w:ind w:firstLine="643" w:firstLineChars="200"/>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lang w:val="en-US" w:eastAsia="zh-CN"/>
        </w:rPr>
        <w:t>3</w:t>
      </w:r>
      <w:r>
        <w:rPr>
          <w:rFonts w:hint="eastAsia" w:ascii="仿宋_GB2312" w:hAnsi="仿宋_GB2312" w:eastAsia="仿宋_GB2312" w:cs="仿宋_GB2312"/>
          <w:b/>
          <w:sz w:val="32"/>
          <w:szCs w:val="32"/>
        </w:rPr>
        <w:t>.发展思路</w:t>
      </w:r>
    </w:p>
    <w:p w14:paraId="4C97E606">
      <w:pPr>
        <w:spacing w:line="600" w:lineRule="exact"/>
        <w:ind w:firstLine="643" w:firstLineChars="200"/>
        <w:rPr>
          <w:rFonts w:ascii="Times New Roman" w:hAnsi="Times New Roman" w:eastAsia="仿宋_GB2312"/>
          <w:sz w:val="32"/>
          <w:szCs w:val="32"/>
        </w:rPr>
      </w:pPr>
      <w:r>
        <w:rPr>
          <w:rFonts w:hint="eastAsia" w:ascii="Times New Roman" w:hAnsi="Times New Roman" w:eastAsia="仿宋_GB2312"/>
          <w:b/>
          <w:bCs/>
          <w:sz w:val="32"/>
          <w:szCs w:val="32"/>
        </w:rPr>
        <w:t>（1）</w:t>
      </w:r>
      <w:r>
        <w:rPr>
          <w:rFonts w:hint="eastAsia" w:ascii="Times New Roman" w:hAnsi="Times New Roman" w:eastAsia="仿宋_GB2312"/>
          <w:b/>
          <w:bCs/>
          <w:sz w:val="32"/>
          <w:szCs w:val="32"/>
          <w:lang w:val="en-US" w:eastAsia="zh-CN"/>
        </w:rPr>
        <w:t>推进</w:t>
      </w:r>
      <w:r>
        <w:rPr>
          <w:rFonts w:hint="eastAsia" w:ascii="Times New Roman" w:hAnsi="Times New Roman" w:eastAsia="仿宋_GB2312"/>
          <w:b/>
          <w:bCs/>
          <w:sz w:val="32"/>
          <w:szCs w:val="32"/>
        </w:rPr>
        <w:t>节能环保产业基础高端化。开展</w:t>
      </w:r>
      <w:r>
        <w:rPr>
          <w:rFonts w:hint="eastAsia" w:ascii="Times New Roman" w:hAnsi="Times New Roman" w:eastAsia="仿宋_GB2312"/>
          <w:b/>
          <w:bCs/>
          <w:sz w:val="32"/>
          <w:szCs w:val="32"/>
          <w:lang w:val="en-US" w:eastAsia="zh-CN"/>
        </w:rPr>
        <w:t>基础</w:t>
      </w:r>
      <w:r>
        <w:rPr>
          <w:rFonts w:hint="eastAsia" w:ascii="Times New Roman" w:hAnsi="Times New Roman" w:eastAsia="仿宋_GB2312"/>
          <w:b/>
          <w:bCs/>
          <w:sz w:val="32"/>
          <w:szCs w:val="32"/>
        </w:rPr>
        <w:t>技术攻关。</w:t>
      </w:r>
      <w:r>
        <w:rPr>
          <w:rFonts w:hint="eastAsia" w:ascii="Times New Roman" w:hAnsi="Times New Roman" w:eastAsia="仿宋_GB2312"/>
          <w:sz w:val="32"/>
          <w:szCs w:val="32"/>
        </w:rPr>
        <w:t>设立节能环保产业发展引导基金，鼓励再生资源回收企业加大研发投入力度，提高分拣加工的科学化、精细化水平，注重稀有金属的综合回收利用</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形成一批具有自主知识产权的核心技术，引导企业进行技术储备，提升行业话语权。</w:t>
      </w:r>
      <w:r>
        <w:rPr>
          <w:rFonts w:hint="eastAsia" w:ascii="Times New Roman" w:hAnsi="Times New Roman" w:eastAsia="仿宋_GB2312"/>
          <w:b/>
          <w:bCs/>
          <w:sz w:val="32"/>
          <w:szCs w:val="32"/>
        </w:rPr>
        <w:t>着力培育龙头企业。</w:t>
      </w:r>
      <w:r>
        <w:rPr>
          <w:rFonts w:hint="eastAsia" w:ascii="Times New Roman" w:hAnsi="Times New Roman" w:eastAsia="仿宋_GB2312"/>
          <w:sz w:val="32"/>
          <w:szCs w:val="32"/>
        </w:rPr>
        <w:t>鼓励华铂、天能、骆驼</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大华、金兰金盈、慧枫金属、生宸源材料等企业，通过联合、重组的方式联营或收购中小型回收点或企业，织密回收网络；加强质量品牌标准建设，牵头或参与制定资源再生利用产业团体（联盟）标准、行业标准、国家标准和国际标准；鼓励企业加快应用新技术、新工艺、新装备，在细分领域精耕细作，走专、精、特、</w:t>
      </w:r>
      <w:r>
        <w:rPr>
          <w:rFonts w:hint="eastAsia" w:ascii="Times New Roman" w:hAnsi="Times New Roman" w:eastAsia="仿宋_GB2312"/>
          <w:sz w:val="32"/>
          <w:szCs w:val="32"/>
          <w:lang w:val="en-US" w:eastAsia="zh-CN"/>
        </w:rPr>
        <w:t>新</w:t>
      </w:r>
      <w:r>
        <w:rPr>
          <w:rFonts w:hint="eastAsia" w:ascii="Times New Roman" w:hAnsi="Times New Roman" w:eastAsia="仿宋_GB2312"/>
          <w:sz w:val="32"/>
          <w:szCs w:val="32"/>
        </w:rPr>
        <w:t>道路。</w:t>
      </w:r>
      <w:r>
        <w:rPr>
          <w:rFonts w:hint="eastAsia" w:ascii="Times New Roman" w:hAnsi="Times New Roman" w:eastAsia="仿宋_GB2312"/>
          <w:b/>
          <w:bCs/>
          <w:sz w:val="32"/>
          <w:szCs w:val="32"/>
        </w:rPr>
        <w:t>加强交流合作。</w:t>
      </w:r>
      <w:r>
        <w:rPr>
          <w:rFonts w:hint="eastAsia" w:ascii="Times New Roman" w:hAnsi="Times New Roman" w:eastAsia="仿宋_GB2312"/>
          <w:sz w:val="32"/>
          <w:szCs w:val="32"/>
        </w:rPr>
        <w:t>发挥行业协会作用，积极构建战略发展联盟，开展与长三角等地经验交流、资源对接，</w:t>
      </w:r>
      <w:r>
        <w:rPr>
          <w:rFonts w:hint="eastAsia" w:ascii="Times New Roman" w:hAnsi="Times New Roman" w:eastAsia="仿宋_GB2312"/>
          <w:sz w:val="32"/>
          <w:szCs w:val="32"/>
          <w:lang w:val="en-US" w:eastAsia="zh-CN"/>
        </w:rPr>
        <w:t>拓展</w:t>
      </w:r>
      <w:r>
        <w:rPr>
          <w:rFonts w:hint="eastAsia" w:ascii="Times New Roman" w:hAnsi="Times New Roman" w:eastAsia="仿宋_GB2312"/>
          <w:sz w:val="32"/>
          <w:szCs w:val="32"/>
        </w:rPr>
        <w:t>行业信息交流渠道，实现长三角优势资源的转移承接。</w:t>
      </w:r>
    </w:p>
    <w:p w14:paraId="7BCD5C4B">
      <w:pPr>
        <w:spacing w:line="600" w:lineRule="exact"/>
        <w:ind w:firstLine="643" w:firstLineChars="200"/>
        <w:rPr>
          <w:rFonts w:ascii="Times New Roman" w:hAnsi="Times New Roman" w:eastAsia="仿宋_GB2312"/>
          <w:sz w:val="32"/>
          <w:szCs w:val="32"/>
        </w:rPr>
      </w:pPr>
      <w:r>
        <w:rPr>
          <w:rFonts w:hint="eastAsia" w:ascii="Times New Roman" w:hAnsi="Times New Roman" w:eastAsia="仿宋_GB2312"/>
          <w:b/>
          <w:bCs/>
          <w:sz w:val="32"/>
          <w:szCs w:val="32"/>
        </w:rPr>
        <w:t>（2）延伸节能环保产业链条。统筹推进各种资源综合利用。</w:t>
      </w:r>
      <w:r>
        <w:rPr>
          <w:rFonts w:hint="eastAsia" w:ascii="Times New Roman" w:hAnsi="Times New Roman" w:eastAsia="仿宋_GB2312"/>
          <w:sz w:val="32"/>
          <w:szCs w:val="32"/>
        </w:rPr>
        <w:t>推动龙头企业由单一再生产品为主向重点领域一体化综合经营转变；拓展秸秆资源利用市场，通过技术创新对秸秆及相关废弃物进行多次利用，发展以原料化利用技术为主的秸秆高值化利用；</w:t>
      </w:r>
      <w:r>
        <w:rPr>
          <w:rFonts w:hint="eastAsia" w:ascii="Times New Roman" w:hAnsi="Times New Roman" w:eastAsia="仿宋_GB2312"/>
          <w:sz w:val="32"/>
          <w:szCs w:val="32"/>
          <w:lang w:val="zh-CN"/>
        </w:rPr>
        <w:t>加强农业、建筑业、煤电工业废弃物及生活垃圾资源化利用技术攻关；推进煤电工业废弃物粉煤灰、炉渣、脱硫石膏、废水等综合利用与循环利用。</w:t>
      </w:r>
      <w:r>
        <w:rPr>
          <w:rFonts w:hint="eastAsia" w:ascii="Times New Roman" w:hAnsi="Times New Roman" w:eastAsia="仿宋_GB2312"/>
          <w:b/>
          <w:bCs/>
          <w:sz w:val="32"/>
          <w:szCs w:val="32"/>
        </w:rPr>
        <w:t>延伸发展节能环保服务。</w:t>
      </w:r>
      <w:r>
        <w:rPr>
          <w:rFonts w:hint="eastAsia" w:ascii="Times New Roman" w:hAnsi="Times New Roman" w:eastAsia="仿宋_GB2312"/>
          <w:sz w:val="32"/>
          <w:szCs w:val="32"/>
          <w:lang w:val="en-US" w:eastAsia="zh-CN"/>
        </w:rPr>
        <w:t>充分发挥</w:t>
      </w:r>
      <w:r>
        <w:rPr>
          <w:rFonts w:hint="eastAsia" w:ascii="Times New Roman" w:hAnsi="Times New Roman" w:eastAsia="仿宋_GB2312"/>
          <w:sz w:val="32"/>
          <w:szCs w:val="32"/>
        </w:rPr>
        <w:t>市场优势，争取一批节能环保服务公司在阜落地；组织节能服务公司、重点用能单位进行业务对接，引进知名企业开展合同能源管理业务，发展集研发、设计、建设、运营为一体的第三方环境综合服务模式；引导和鼓励节能服务机构为工业企业提供能源审计、能效评估、人员培训、节能监测、信息咨询等特色化、精细化、专业化的节能服务。</w:t>
      </w:r>
    </w:p>
    <w:p w14:paraId="2BCD30B4">
      <w:pPr>
        <w:spacing w:line="600" w:lineRule="exact"/>
        <w:ind w:firstLine="643" w:firstLineChars="200"/>
        <w:rPr>
          <w:rFonts w:hint="eastAsia" w:ascii="Times New Roman" w:hAnsi="Times New Roman" w:eastAsia="仿宋_GB2312"/>
          <w:sz w:val="32"/>
          <w:szCs w:val="32"/>
        </w:rPr>
      </w:pPr>
      <w:r>
        <w:rPr>
          <w:rFonts w:hint="eastAsia" w:ascii="Times New Roman" w:hAnsi="Times New Roman" w:eastAsia="仿宋_GB2312"/>
          <w:b/>
          <w:bCs/>
          <w:sz w:val="32"/>
          <w:szCs w:val="32"/>
        </w:rPr>
        <w:t>（3）优化节能环保产业生态。</w:t>
      </w:r>
      <w:r>
        <w:rPr>
          <w:rFonts w:hint="eastAsia" w:ascii="Times New Roman" w:hAnsi="Times New Roman" w:eastAsia="仿宋_GB2312"/>
          <w:b/>
          <w:bCs/>
          <w:sz w:val="32"/>
          <w:szCs w:val="32"/>
          <w:lang w:val="en-US" w:eastAsia="zh-CN"/>
        </w:rPr>
        <w:t>完善</w:t>
      </w:r>
      <w:r>
        <w:rPr>
          <w:rFonts w:hint="eastAsia" w:ascii="Times New Roman" w:hAnsi="Times New Roman" w:eastAsia="仿宋_GB2312"/>
          <w:b/>
          <w:bCs/>
          <w:sz w:val="32"/>
          <w:szCs w:val="32"/>
        </w:rPr>
        <w:t>回收体系。</w:t>
      </w:r>
      <w:r>
        <w:rPr>
          <w:rFonts w:hint="eastAsia" w:ascii="Times New Roman" w:hAnsi="Times New Roman" w:eastAsia="仿宋_GB2312"/>
          <w:sz w:val="32"/>
          <w:szCs w:val="32"/>
        </w:rPr>
        <w:t>加快布局面向全国的、完善的再生金属、再生塑料等</w:t>
      </w:r>
      <w:r>
        <w:rPr>
          <w:rFonts w:hint="eastAsia" w:ascii="Times New Roman" w:hAnsi="Times New Roman" w:eastAsia="仿宋_GB2312"/>
          <w:sz w:val="32"/>
          <w:szCs w:val="32"/>
          <w:lang w:val="en-US" w:eastAsia="zh-CN"/>
        </w:rPr>
        <w:t>资源</w:t>
      </w:r>
      <w:r>
        <w:rPr>
          <w:rFonts w:hint="eastAsia" w:ascii="Times New Roman" w:hAnsi="Times New Roman" w:eastAsia="仿宋_GB2312"/>
          <w:sz w:val="32"/>
          <w:szCs w:val="32"/>
        </w:rPr>
        <w:t>回收网点，加强秸秆收储运体系建设，探索构建再生资源可追溯信息化系统；利用大数据、人工智能等技术提升上游回收渠道信息化水平，做好跟踪管理，提升回收能力。</w:t>
      </w:r>
      <w:r>
        <w:rPr>
          <w:rFonts w:hint="eastAsia" w:ascii="Times New Roman" w:hAnsi="Times New Roman" w:eastAsia="仿宋_GB2312"/>
          <w:b/>
          <w:bCs/>
          <w:sz w:val="32"/>
          <w:szCs w:val="32"/>
        </w:rPr>
        <w:t>研发环保技术。</w:t>
      </w:r>
      <w:r>
        <w:rPr>
          <w:rFonts w:hint="eastAsia" w:ascii="Times New Roman" w:hAnsi="Times New Roman" w:eastAsia="仿宋_GB2312"/>
          <w:sz w:val="32"/>
          <w:szCs w:val="32"/>
        </w:rPr>
        <w:t>结合产业发展需求，推动企业设备更新和技术升级，加快新工艺应用；发展分选设备、含铅废物处理设备、造粒设备、打包设备等自动化成套设备的研发生产，重点打造再生金属示范生产线；加快推进节能环保产业与大型城市治理等领域有效联动，提高节能环保产业智能化水平，有效降低生产成本、提高生产效率和生产水平。</w:t>
      </w:r>
      <w:r>
        <w:rPr>
          <w:rFonts w:hint="eastAsia" w:ascii="Times New Roman" w:hAnsi="Times New Roman" w:eastAsia="仿宋_GB2312"/>
          <w:b/>
          <w:bCs/>
          <w:sz w:val="32"/>
          <w:szCs w:val="32"/>
          <w:lang w:val="en-US" w:eastAsia="zh-CN"/>
        </w:rPr>
        <w:t>规范</w:t>
      </w:r>
      <w:r>
        <w:rPr>
          <w:rFonts w:hint="eastAsia" w:ascii="Times New Roman" w:hAnsi="Times New Roman" w:eastAsia="仿宋_GB2312"/>
          <w:b/>
          <w:bCs/>
          <w:sz w:val="32"/>
          <w:szCs w:val="32"/>
        </w:rPr>
        <w:t>行业</w:t>
      </w:r>
      <w:r>
        <w:rPr>
          <w:rFonts w:hint="eastAsia" w:ascii="Times New Roman" w:hAnsi="Times New Roman" w:eastAsia="仿宋_GB2312"/>
          <w:b/>
          <w:bCs/>
          <w:sz w:val="32"/>
          <w:szCs w:val="32"/>
          <w:lang w:val="en-US" w:eastAsia="zh-CN"/>
        </w:rPr>
        <w:t>管理</w:t>
      </w:r>
      <w:r>
        <w:rPr>
          <w:rFonts w:hint="eastAsia" w:ascii="Times New Roman" w:hAnsi="Times New Roman" w:eastAsia="仿宋_GB2312"/>
          <w:b/>
          <w:bCs/>
          <w:sz w:val="32"/>
          <w:szCs w:val="32"/>
        </w:rPr>
        <w:t>。</w:t>
      </w:r>
      <w:r>
        <w:rPr>
          <w:rFonts w:hint="eastAsia" w:ascii="Times New Roman" w:hAnsi="Times New Roman" w:eastAsia="仿宋_GB2312"/>
          <w:b w:val="0"/>
          <w:bCs w:val="0"/>
          <w:sz w:val="32"/>
          <w:szCs w:val="32"/>
          <w:lang w:val="en-US" w:eastAsia="zh-CN"/>
        </w:rPr>
        <w:t>贯彻落实《再生资源回收管理办法》，严格执行环保、安全、卫生、劳动保护、质量标准等相关要求，加强部门协作，引导行业规范化、</w:t>
      </w:r>
      <w:r>
        <w:rPr>
          <w:rFonts w:hint="eastAsia" w:ascii="Times New Roman" w:hAnsi="Times New Roman" w:eastAsia="仿宋_GB2312"/>
          <w:sz w:val="32"/>
          <w:szCs w:val="32"/>
        </w:rPr>
        <w:t>规模化、集约化发展。</w:t>
      </w:r>
    </w:p>
    <w:p w14:paraId="3AC3188B">
      <w:pPr>
        <w:pStyle w:val="16"/>
        <w:spacing w:line="600" w:lineRule="exact"/>
        <w:ind w:firstLine="643" w:firstLineChars="200"/>
        <w:jc w:val="both"/>
        <w:rPr>
          <w:rFonts w:hint="eastAsia" w:ascii="仿宋_GB2312" w:hAnsi="仿宋_GB2312" w:eastAsia="仿宋_GB2312" w:cs="仿宋_GB2312"/>
          <w:sz w:val="32"/>
          <w:szCs w:val="32"/>
        </w:rPr>
      </w:pPr>
      <w:r>
        <w:rPr>
          <w:rFonts w:hint="eastAsia"/>
          <w:b/>
          <w:bCs/>
          <w:sz w:val="32"/>
          <w:szCs w:val="32"/>
          <w:lang w:eastAsia="zh-CN"/>
        </w:rPr>
        <w:t>（</w:t>
      </w:r>
      <w:r>
        <w:rPr>
          <w:rFonts w:hint="eastAsia"/>
          <w:b/>
          <w:bCs/>
          <w:sz w:val="32"/>
          <w:szCs w:val="32"/>
          <w:lang w:val="en-US" w:eastAsia="zh-CN"/>
        </w:rPr>
        <w:t>4</w:t>
      </w:r>
      <w:r>
        <w:rPr>
          <w:rFonts w:hint="eastAsia"/>
          <w:b/>
          <w:bCs/>
          <w:sz w:val="32"/>
          <w:szCs w:val="32"/>
          <w:lang w:eastAsia="zh-CN"/>
        </w:rPr>
        <w:t>）</w:t>
      </w:r>
      <w:r>
        <w:rPr>
          <w:rFonts w:hint="eastAsia" w:ascii="仿宋_GB2312" w:hAnsi="仿宋_GB2312" w:eastAsia="仿宋_GB2312" w:cs="仿宋_GB2312"/>
          <w:b/>
          <w:bCs/>
          <w:sz w:val="32"/>
          <w:szCs w:val="32"/>
          <w:lang w:eastAsia="zh-CN"/>
        </w:rPr>
        <w:t>构建清洁低碳的新能源产业体系</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在可再生资源条件好、发展潜力大、管理有基础的区域，通过统筹规划、系统集成，因地制宜实施传统能源与风能、太阳能、生物质能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氢能</w:t>
      </w:r>
      <w:r>
        <w:rPr>
          <w:rFonts w:hint="eastAsia" w:ascii="仿宋_GB2312" w:hAnsi="仿宋_GB2312" w:eastAsia="仿宋_GB2312" w:cs="仿宋_GB2312"/>
          <w:sz w:val="32"/>
          <w:szCs w:val="32"/>
        </w:rPr>
        <w:t>等可再生能源的协同开发利用，</w:t>
      </w:r>
      <w:r>
        <w:rPr>
          <w:rFonts w:hint="eastAsia" w:ascii="仿宋_GB2312" w:hAnsi="仿宋_GB2312" w:eastAsia="仿宋_GB2312" w:cs="仿宋_GB2312"/>
          <w:i w:val="0"/>
          <w:iCs w:val="0"/>
          <w:caps w:val="0"/>
          <w:color w:val="auto"/>
          <w:spacing w:val="0"/>
          <w:sz w:val="32"/>
          <w:szCs w:val="32"/>
          <w:shd w:val="clear" w:fill="auto"/>
        </w:rPr>
        <w:t>促进绿色能源开发利用和能源行业低碳转型。</w:t>
      </w:r>
      <w:r>
        <w:rPr>
          <w:rFonts w:hint="eastAsia" w:ascii="仿宋_GB2312" w:hAnsi="仿宋_GB2312" w:eastAsia="仿宋_GB2312" w:cs="仿宋_GB2312"/>
          <w:b w:val="0"/>
          <w:bCs w:val="0"/>
          <w:sz w:val="32"/>
          <w:szCs w:val="32"/>
        </w:rPr>
        <w:t>优化发展清洁高效坑口电站。</w:t>
      </w:r>
      <w:r>
        <w:rPr>
          <w:rFonts w:hint="eastAsia" w:ascii="仿宋_GB2312" w:hAnsi="仿宋_GB2312" w:eastAsia="仿宋_GB2312" w:cs="仿宋_GB2312"/>
          <w:sz w:val="32"/>
          <w:szCs w:val="32"/>
        </w:rPr>
        <w:t>健全企业为主体、市场为导向、产学研用相结合的创新体系，努力建成一批能源技术工程实验室、国家工程技术研究中心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积极研发推广</w:t>
      </w:r>
      <w:r>
        <w:rPr>
          <w:rFonts w:hint="eastAsia" w:ascii="仿宋_GB2312" w:hAnsi="仿宋_GB2312" w:eastAsia="仿宋_GB2312" w:cs="仿宋_GB2312"/>
          <w:sz w:val="32"/>
          <w:szCs w:val="32"/>
        </w:rPr>
        <w:t>煤电超净排放、热电冷联产、太阳能光热发电、先进储能、新能源微电网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氢能燃料电池</w:t>
      </w:r>
      <w:r>
        <w:rPr>
          <w:rFonts w:hint="eastAsia" w:ascii="仿宋_GB2312" w:hAnsi="仿宋_GB2312" w:eastAsia="仿宋_GB2312" w:cs="仿宋_GB2312"/>
          <w:sz w:val="32"/>
          <w:szCs w:val="32"/>
        </w:rPr>
        <w:t>等技术。</w:t>
      </w:r>
    </w:p>
    <w:p w14:paraId="5BC7B1B0">
      <w:pPr>
        <w:spacing w:line="600" w:lineRule="exact"/>
        <w:ind w:firstLine="643" w:firstLineChars="200"/>
        <w:outlineLvl w:val="9"/>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5</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加快新能源产业应用示范。</w:t>
      </w:r>
      <w:r>
        <w:rPr>
          <w:rFonts w:hint="eastAsia" w:ascii="仿宋_GB2312" w:hAnsi="仿宋_GB2312" w:eastAsia="仿宋_GB2312" w:cs="仿宋_GB2312"/>
          <w:b w:val="0"/>
          <w:bCs w:val="0"/>
          <w:sz w:val="32"/>
          <w:szCs w:val="32"/>
          <w:lang w:val="en-US" w:eastAsia="zh-CN"/>
        </w:rPr>
        <w:t>充分发挥应用示范作用，不断拓宽应用场景，培育新能源产业新技术、新模式、新业态，推动新能源多元化创新应用。拓展“光伏+渔业”“光伏+生态农业”等光伏应用场景；谋划开展氢气制备、储运、燃料电池汽车等应用示范，优化氢能基础设施布局，通过试点示范加速氢能产业化、规模化和商业化进程；依托阜阳的农业资源优势，重点围绕阜南、临泉两县发展，推广秸秆燃烧发电项目、秸秆和畜禽粪污等发酵转化制生物天然气项目。</w:t>
      </w:r>
    </w:p>
    <w:p w14:paraId="3C8E9BC9">
      <w:pPr>
        <w:spacing w:line="600" w:lineRule="exact"/>
        <w:ind w:firstLine="643" w:firstLineChars="200"/>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lang w:val="en-US" w:eastAsia="zh-CN"/>
        </w:rPr>
        <w:t>4</w:t>
      </w:r>
      <w:r>
        <w:rPr>
          <w:rFonts w:hint="eastAsia" w:ascii="仿宋_GB2312" w:hAnsi="仿宋_GB2312" w:eastAsia="仿宋_GB2312" w:cs="仿宋_GB2312"/>
          <w:b/>
          <w:sz w:val="32"/>
          <w:szCs w:val="32"/>
        </w:rPr>
        <w:t>.发展重点</w:t>
      </w:r>
    </w:p>
    <w:p w14:paraId="3969A492">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（1）重点发展</w:t>
      </w:r>
    </w:p>
    <w:p w14:paraId="7F1822D3">
      <w:pPr>
        <w:keepNext w:val="0"/>
        <w:keepLines w:val="0"/>
        <w:pageBreakBefore w:val="0"/>
        <w:widowControl w:val="0"/>
        <w:kinsoku/>
        <w:wordWrap/>
        <w:overflowPunct/>
        <w:topLinePunct w:val="0"/>
        <w:autoSpaceDE/>
        <w:autoSpaceDN/>
        <w:bidi w:val="0"/>
        <w:adjustRightInd/>
        <w:snapToGrid/>
        <w:spacing w:after="0" w:line="600" w:lineRule="exact"/>
        <w:ind w:left="0" w:leftChars="0" w:firstLine="643" w:firstLineChars="200"/>
        <w:jc w:val="both"/>
        <w:textAlignment w:val="auto"/>
        <w:rPr>
          <w:rFonts w:hint="eastAsia" w:ascii="Times New Roman" w:hAnsi="Times New Roman" w:eastAsia="仿宋_GB2312" w:cs="Times New Roman"/>
          <w:kern w:val="2"/>
          <w:sz w:val="32"/>
          <w:szCs w:val="24"/>
          <w:lang w:val="en-US" w:eastAsia="zh-CN" w:bidi="ar-SA"/>
        </w:rPr>
      </w:pPr>
      <w:r>
        <w:rPr>
          <w:rFonts w:hint="eastAsia" w:ascii="仿宋_GB2312" w:hAnsi="仿宋_GB2312" w:eastAsia="仿宋_GB2312" w:cs="仿宋_GB2312"/>
          <w:b/>
          <w:bCs/>
          <w:kern w:val="2"/>
          <w:sz w:val="32"/>
          <w:szCs w:val="24"/>
          <w:lang w:val="en-US" w:eastAsia="zh-CN" w:bidi="ar-SA"/>
        </w:rPr>
        <w:t>风电。</w:t>
      </w:r>
      <w:r>
        <w:rPr>
          <w:rFonts w:hint="eastAsia" w:ascii="仿宋_GB2312" w:hAnsi="仿宋_GB2312" w:eastAsia="仿宋_GB2312" w:cs="仿宋_GB2312"/>
          <w:b w:val="0"/>
          <w:bCs w:val="0"/>
          <w:kern w:val="2"/>
          <w:sz w:val="32"/>
          <w:szCs w:val="24"/>
          <w:lang w:val="en-US" w:eastAsia="zh-CN" w:bidi="ar-SA"/>
        </w:rPr>
        <w:t>依托三峡新能源、萁星风力、金风科技等企业，加快推进三峡·金风科技现代能源创新示范园、中广核阜阳市颍东区园区级“源网荷储”一体化等项目建设，推动风电与其他分布式能源融合发展。稳步推进颍泉区黑茨河、尚营两大风电场项目发电并网运营，提升风电装机容量</w:t>
      </w:r>
      <w:r>
        <w:rPr>
          <w:rFonts w:hint="eastAsia" w:ascii="Times New Roman" w:hAnsi="Times New Roman" w:eastAsia="仿宋_GB2312"/>
          <w:sz w:val="32"/>
        </w:rPr>
        <w:t>，</w:t>
      </w:r>
      <w:r>
        <w:rPr>
          <w:rFonts w:hint="eastAsia" w:ascii="仿宋_GB2312" w:hAnsi="仿宋_GB2312" w:eastAsia="仿宋_GB2312" w:cs="仿宋_GB2312"/>
          <w:b w:val="0"/>
          <w:bCs w:val="0"/>
          <w:kern w:val="2"/>
          <w:sz w:val="32"/>
          <w:szCs w:val="24"/>
          <w:lang w:val="en-US" w:eastAsia="zh-CN" w:bidi="ar-SA"/>
        </w:rPr>
        <w:t>积极</w:t>
      </w:r>
      <w:r>
        <w:rPr>
          <w:rFonts w:hint="eastAsia" w:ascii="Times New Roman" w:hAnsi="Times New Roman" w:eastAsia="仿宋_GB2312"/>
          <w:sz w:val="32"/>
        </w:rPr>
        <w:t>谋划百乡千村驭风示范项目</w:t>
      </w:r>
      <w:r>
        <w:rPr>
          <w:rFonts w:hint="eastAsia" w:ascii="仿宋_GB2312" w:hAnsi="仿宋_GB2312" w:eastAsia="仿宋_GB2312" w:cs="仿宋_GB2312"/>
          <w:b w:val="0"/>
          <w:bCs w:val="0"/>
          <w:kern w:val="2"/>
          <w:sz w:val="32"/>
          <w:szCs w:val="24"/>
          <w:lang w:val="en-US" w:eastAsia="zh-CN" w:bidi="ar-SA"/>
        </w:rPr>
        <w:t>，助推全市风能资源开发利用，优化能源结构。</w:t>
      </w:r>
    </w:p>
    <w:p w14:paraId="76C2F9D5">
      <w:pPr>
        <w:spacing w:line="600" w:lineRule="exact"/>
        <w:ind w:firstLine="643" w:firstLineChars="200"/>
        <w:outlineLvl w:val="9"/>
        <w:rPr>
          <w:rFonts w:hint="eastAsia" w:ascii="仿宋_GB2312" w:hAnsi="仿宋_GB2312" w:eastAsia="仿宋_GB2312" w:cs="仿宋_GB2312"/>
          <w:b w:val="0"/>
          <w:bCs w:val="0"/>
          <w:sz w:val="32"/>
          <w:lang w:val="en-US" w:eastAsia="zh-CN"/>
        </w:rPr>
      </w:pPr>
      <w:r>
        <w:rPr>
          <w:rFonts w:hint="eastAsia" w:ascii="仿宋_GB2312" w:hAnsi="仿宋_GB2312" w:eastAsia="仿宋_GB2312" w:cs="仿宋_GB2312"/>
          <w:b/>
          <w:bCs/>
          <w:sz w:val="32"/>
          <w:lang w:val="en-US" w:eastAsia="zh-CN"/>
        </w:rPr>
        <w:t>光</w:t>
      </w:r>
      <w:r>
        <w:rPr>
          <w:rFonts w:hint="eastAsia" w:ascii="仿宋_GB2312" w:hAnsi="仿宋_GB2312" w:eastAsia="仿宋_GB2312" w:cs="仿宋_GB2312"/>
          <w:b/>
          <w:bCs/>
          <w:kern w:val="2"/>
          <w:sz w:val="32"/>
          <w:szCs w:val="24"/>
          <w:lang w:val="en-US" w:eastAsia="zh-CN" w:bidi="ar-SA"/>
        </w:rPr>
        <w:t>电</w:t>
      </w:r>
      <w:r>
        <w:rPr>
          <w:rFonts w:hint="eastAsia" w:ascii="仿宋_GB2312" w:hAnsi="仿宋_GB2312" w:eastAsia="仿宋_GB2312" w:cs="仿宋_GB2312"/>
          <w:b/>
          <w:bCs/>
          <w:sz w:val="32"/>
          <w:lang w:val="en-US" w:eastAsia="zh-CN"/>
        </w:rPr>
        <w:t>。</w:t>
      </w:r>
      <w:r>
        <w:rPr>
          <w:rFonts w:hint="eastAsia" w:ascii="仿宋_GB2312" w:hAnsi="仿宋_GB2312" w:eastAsia="仿宋_GB2312" w:cs="仿宋_GB2312"/>
          <w:b w:val="0"/>
          <w:bCs w:val="0"/>
          <w:sz w:val="32"/>
          <w:lang w:val="en-US" w:eastAsia="zh-CN"/>
        </w:rPr>
        <w:t>基于区域资源优势，坚持集中式与分布式相结合，积极发展光伏发电。合理利用采煤沉陷区、废弃土地、荒山荒坡、农业大棚、滩涂、鱼塘等资源，发展农光互补和渔光互补项目，加快颍上县、颍东区采煤沉陷区光伏示范基地和彩虹（颍上）光伏电站基地等项目建设。不断拉长拓宽太阳能产业链，加快推进年产20GWN+超高效太阳能单晶硅片、赛拉弗8GW光伏组件+18GWHJT电池片生产等项目建设，积极引进培育电池片、逆变器相关企业。</w:t>
      </w:r>
    </w:p>
    <w:p w14:paraId="317F00A7">
      <w:pPr>
        <w:spacing w:line="600" w:lineRule="exact"/>
        <w:ind w:firstLine="643" w:firstLineChars="200"/>
        <w:rPr>
          <w:rFonts w:ascii="仿宋_GB2312" w:hAnsi="仿宋_GB2312" w:eastAsia="仿宋_GB2312" w:cs="仿宋_GB2312"/>
          <w:sz w:val="32"/>
          <w:szCs w:val="32"/>
        </w:rPr>
      </w:pPr>
      <w:r>
        <w:rPr>
          <w:rFonts w:hint="eastAsia" w:ascii="Times New Roman" w:hAnsi="Times New Roman" w:eastAsia="仿宋_GB2312"/>
          <w:b/>
          <w:bCs/>
          <w:sz w:val="32"/>
          <w:szCs w:val="32"/>
        </w:rPr>
        <w:t>再生金属利用。再生铅利用。</w:t>
      </w:r>
      <w:r>
        <w:rPr>
          <w:rFonts w:hint="eastAsia" w:ascii="Times New Roman" w:hAnsi="Times New Roman" w:eastAsia="仿宋_GB2312"/>
          <w:sz w:val="32"/>
          <w:szCs w:val="32"/>
        </w:rPr>
        <w:t>鼓励企业加大设备和技术改造投入，持续提升旧铅酸电池拆解分选分类技术工艺水平，打造国际领先的废旧铅酸蓄电池拆解分选分类体系。依托</w:t>
      </w:r>
      <w:r>
        <w:rPr>
          <w:rFonts w:hint="eastAsia" w:ascii="Times New Roman" w:hAnsi="Times New Roman" w:eastAsia="仿宋_GB2312"/>
          <w:sz w:val="32"/>
          <w:szCs w:val="32"/>
          <w:lang w:val="en-US" w:eastAsia="zh-CN"/>
        </w:rPr>
        <w:t>华铂、</w:t>
      </w:r>
      <w:r>
        <w:rPr>
          <w:rFonts w:hint="eastAsia" w:ascii="Times New Roman" w:hAnsi="Times New Roman" w:eastAsia="仿宋_GB2312"/>
          <w:sz w:val="32"/>
          <w:szCs w:val="32"/>
        </w:rPr>
        <w:t>骆驼、天能、超威、大华等龙头企业，以再生铅清洁生产为核心，推动再生铅精炼及深加工产业发展，加强与高校和科研机构合作共建，对再生铅冶炼、氧化铅还原、铅酸蓄电池生产、废旧塑料电瓶壳综合利用等技术领域进行提升攻关；加快推进雅迪南都合作建设华宇石墨烯电池和新能源研发、制造、销售一体化项目落地，推动华铂新材料锂离子电池绿色高效循环利用、华拓年产6GWh新能源锂电池、太和五矿集团锂离子电池综合回收利用等项目建设。</w:t>
      </w:r>
      <w:r>
        <w:rPr>
          <w:rFonts w:hint="eastAsia" w:ascii="Times New Roman" w:hAnsi="Times New Roman" w:eastAsia="仿宋_GB2312"/>
          <w:b/>
          <w:bCs/>
          <w:sz w:val="32"/>
          <w:szCs w:val="32"/>
        </w:rPr>
        <w:t>再生铝利用。</w:t>
      </w:r>
      <w:r>
        <w:rPr>
          <w:rFonts w:hint="eastAsia" w:ascii="Times New Roman" w:hAnsi="Times New Roman" w:eastAsia="仿宋_GB2312"/>
          <w:sz w:val="32"/>
          <w:szCs w:val="32"/>
        </w:rPr>
        <w:t>依托金兰金盈、慧枫、百圣鑫等龙头企业，</w:t>
      </w:r>
      <w:r>
        <w:rPr>
          <w:rFonts w:hint="eastAsia" w:ascii="Times New Roman" w:hAnsi="Times New Roman" w:eastAsia="仿宋_GB2312"/>
          <w:sz w:val="32"/>
          <w:szCs w:val="32"/>
          <w:lang w:val="zh-CN"/>
        </w:rPr>
        <w:t>围绕高端铝型材、新型铝制品和泡沫铝铸件等，发展建筑轻材料、机械铸件和汽车配件产业，</w:t>
      </w:r>
      <w:r>
        <w:rPr>
          <w:rFonts w:hint="eastAsia" w:ascii="Times New Roman" w:hAnsi="Times New Roman" w:eastAsia="仿宋_GB2312"/>
          <w:sz w:val="32"/>
          <w:szCs w:val="32"/>
        </w:rPr>
        <w:t>在现有铝锭、铝棒、铝板、铝型材等产品的基础上，重点发展铝合金材料、全铝家具等高附加值下游产品，推动高精板带箔、挤压铝基新材料、铝合金铸件等产业集聚发展。推进先进废铝分离、破碎、原品质利用等技术开发应用和成果转化，建设国内领先的含铝废旧物回收-拆解分选分类产业体系。推动一鸣新材料泡沫铝在隔音材料、建筑装饰、汽车轻量化等领域的应用，协助解决企业军工资质手续，拓展军民融合领域。</w:t>
      </w:r>
      <w:r>
        <w:rPr>
          <w:rFonts w:hint="eastAsia" w:ascii="Times New Roman" w:hAnsi="Times New Roman" w:eastAsia="仿宋_GB2312"/>
          <w:b/>
          <w:bCs/>
          <w:sz w:val="32"/>
          <w:szCs w:val="32"/>
        </w:rPr>
        <w:t>其他金属利用。</w:t>
      </w:r>
      <w:r>
        <w:rPr>
          <w:rFonts w:hint="eastAsia" w:ascii="仿宋_GB2312" w:hAnsi="仿宋_GB2312" w:eastAsia="仿宋_GB2312" w:cs="仿宋_GB2312"/>
          <w:sz w:val="32"/>
          <w:szCs w:val="32"/>
        </w:rPr>
        <w:t>规范发展废钢铁加工行业，加快报废机动车拆解及废钢加工新项目建设步伐。</w:t>
      </w:r>
    </w:p>
    <w:p w14:paraId="14ADF460">
      <w:pPr>
        <w:spacing w:line="600" w:lineRule="exact"/>
        <w:ind w:firstLine="640" w:firstLineChars="200"/>
        <w:rPr>
          <w:rFonts w:hint="eastAsia" w:ascii="仿宋_GB2312" w:hAnsi="仿宋_GB2312" w:eastAsia="仿宋_GB2312" w:cs="仿宋_GB2312"/>
          <w:sz w:val="32"/>
          <w:szCs w:val="32"/>
        </w:rPr>
      </w:pPr>
    </w:p>
    <w:p w14:paraId="44FC1AA5">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（2）大力发展</w:t>
      </w:r>
    </w:p>
    <w:p w14:paraId="10AB2AB7">
      <w:pPr>
        <w:spacing w:line="600" w:lineRule="exact"/>
        <w:ind w:firstLine="643" w:firstLineChars="200"/>
        <w:outlineLvl w:val="9"/>
        <w:rPr>
          <w:rFonts w:hint="eastAsia" w:ascii="仿宋_GB2312" w:hAnsi="仿宋_GB2312" w:eastAsia="仿宋_GB2312" w:cs="仿宋_GB2312"/>
          <w:b w:val="0"/>
          <w:bCs w:val="0"/>
          <w:sz w:val="32"/>
          <w:lang w:val="en-US" w:eastAsia="zh-CN"/>
        </w:rPr>
      </w:pPr>
      <w:r>
        <w:rPr>
          <w:rFonts w:hint="eastAsia" w:ascii="仿宋_GB2312" w:hAnsi="仿宋_GB2312" w:eastAsia="仿宋_GB2312" w:cs="仿宋_GB2312"/>
          <w:b/>
          <w:bCs/>
          <w:sz w:val="32"/>
          <w:lang w:val="en-US" w:eastAsia="zh-CN"/>
        </w:rPr>
        <w:t>生物质能。</w:t>
      </w:r>
      <w:r>
        <w:rPr>
          <w:rFonts w:hint="eastAsia" w:ascii="仿宋_GB2312" w:hAnsi="仿宋_GB2312" w:eastAsia="仿宋_GB2312" w:cs="仿宋_GB2312"/>
          <w:sz w:val="32"/>
          <w:szCs w:val="32"/>
        </w:rPr>
        <w:t>依托国祯燃气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皖能集团等企业</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加快</w:t>
      </w:r>
      <w:r>
        <w:rPr>
          <w:rFonts w:hint="eastAsia" w:ascii="仿宋_GB2312" w:hAnsi="仿宋_GB2312" w:eastAsia="仿宋_GB2312" w:cs="仿宋_GB2312"/>
          <w:sz w:val="32"/>
          <w:szCs w:val="32"/>
        </w:rPr>
        <w:t>城乡中高压管网建设；依托林海生态，对秸秆和畜禽粪污等进行发酵转化，推动生物天然气产量快速增长。考虑工业化项目的规模效益，同时兼顾资源收集半径，同一县级行政区域内可根据资源情况布局多个项目，统筹县域城乡废弃物资源的收集、处理和后端产品的消纳。</w:t>
      </w:r>
      <w:r>
        <w:rPr>
          <w:rFonts w:hint="eastAsia" w:ascii="仿宋_GB2312" w:hAnsi="仿宋_GB2312" w:eastAsia="仿宋_GB2312" w:cs="仿宋_GB2312"/>
          <w:b w:val="0"/>
          <w:bCs w:val="0"/>
          <w:sz w:val="32"/>
          <w:lang w:val="en-US" w:eastAsia="zh-CN"/>
        </w:rPr>
        <w:t>推进生物质能循环梯级利用，构建生物质能多联产循环经济，推广形成县域有机废弃物全量化全循环全利用的“阜阳模式”，加速国祯康泰斯生物质“醇电热”联产项目。</w:t>
      </w:r>
    </w:p>
    <w:p w14:paraId="6FD469CD">
      <w:pPr>
        <w:spacing w:line="600" w:lineRule="exact"/>
        <w:ind w:firstLine="643" w:firstLineChars="200"/>
        <w:outlineLvl w:val="9"/>
        <w:rPr>
          <w:rFonts w:hint="eastAsia" w:eastAsia="仿宋_GB2312" w:asciiTheme="minorAscii" w:hAnsiTheme="minorAscii"/>
          <w:sz w:val="32"/>
          <w:lang w:val="en-US" w:eastAsia="zh-CN"/>
        </w:rPr>
      </w:pPr>
      <w:r>
        <w:rPr>
          <w:rFonts w:hint="eastAsia" w:ascii="仿宋_GB2312" w:hAnsi="仿宋_GB2312" w:eastAsia="仿宋_GB2312" w:cs="仿宋_GB2312"/>
          <w:b/>
          <w:bCs/>
          <w:sz w:val="32"/>
          <w:lang w:val="en-US" w:eastAsia="zh-CN"/>
        </w:rPr>
        <w:t>储能。</w:t>
      </w:r>
      <w:r>
        <w:rPr>
          <w:rFonts w:hint="eastAsia" w:ascii="仿宋_GB2312" w:hAnsi="仿宋_GB2312" w:eastAsia="仿宋_GB2312" w:cs="仿宋_GB2312"/>
          <w:b w:val="0"/>
          <w:bCs w:val="0"/>
          <w:sz w:val="32"/>
          <w:lang w:val="en-US" w:eastAsia="zh-CN"/>
        </w:rPr>
        <w:t>加快罗特尼克高能碳纤维飞轮储能系统制造基地项目建设投产，争取产品在阜阳市风、光等可再生能源发电项目中电网调频的应用。在建设电力系统时，同步建设储能设施，推进实施“源网荷储”一体化、风光储一体化和风光火储一体化项目，加快颍上经开区集中式储能等一批电化学储能项目前期工作。</w:t>
      </w:r>
      <w:r>
        <w:rPr>
          <w:rFonts w:hint="default" w:ascii="仿宋_GB2312" w:hAnsi="仿宋_GB2312" w:eastAsia="仿宋_GB2312" w:cs="仿宋_GB2312"/>
          <w:b w:val="0"/>
          <w:bCs w:val="0"/>
          <w:sz w:val="32"/>
          <w:lang w:val="en-US" w:eastAsia="zh-CN"/>
        </w:rPr>
        <w:t>推进阜合现代产业园区复旦科技园创新基地等储能产业孵化区建设。</w:t>
      </w:r>
    </w:p>
    <w:p w14:paraId="1F233EB3">
      <w:pPr>
        <w:spacing w:line="600" w:lineRule="exact"/>
        <w:ind w:firstLine="643" w:firstLineChars="200"/>
        <w:rPr>
          <w:rFonts w:hint="eastAsia" w:ascii="Times New Roman" w:hAnsi="Times New Roman" w:eastAsia="仿宋_GB2312"/>
          <w:b/>
          <w:bCs/>
          <w:sz w:val="32"/>
          <w:szCs w:val="32"/>
        </w:rPr>
      </w:pPr>
      <w:r>
        <w:rPr>
          <w:rFonts w:hint="eastAsia" w:ascii="仿宋_GB2312" w:hAnsi="仿宋_GB2312" w:eastAsia="仿宋_GB2312" w:cs="仿宋_GB2312"/>
          <w:b/>
          <w:bCs/>
          <w:kern w:val="2"/>
          <w:sz w:val="32"/>
          <w:szCs w:val="24"/>
          <w:lang w:val="en-US" w:eastAsia="zh-CN" w:bidi="ar-SA"/>
        </w:rPr>
        <w:t>火电。</w:t>
      </w:r>
      <w:r>
        <w:rPr>
          <w:rFonts w:hint="eastAsia" w:ascii="仿宋_GB2312" w:hAnsi="仿宋_GB2312" w:eastAsia="仿宋_GB2312" w:cs="仿宋_GB2312"/>
          <w:b w:val="0"/>
          <w:bCs w:val="0"/>
          <w:kern w:val="2"/>
          <w:sz w:val="32"/>
          <w:szCs w:val="24"/>
          <w:lang w:val="en-US" w:eastAsia="zh-CN" w:bidi="ar-SA"/>
        </w:rPr>
        <w:t>保持电煤在煤炭消费中的比重基本稳定，推进煤电节能减排升级改造，加快刘庄煤矿、谢桥煤矿的资源综合利用电站项目建设。</w:t>
      </w:r>
      <w:r>
        <w:rPr>
          <w:rFonts w:hint="eastAsia" w:ascii="仿宋_GB2312" w:hAnsi="仿宋_GB2312" w:eastAsia="仿宋_GB2312" w:cs="仿宋_GB2312"/>
          <w:kern w:val="2"/>
          <w:sz w:val="32"/>
          <w:szCs w:val="32"/>
          <w:lang w:val="en-US" w:eastAsia="zh-CN" w:bidi="ar-SA"/>
        </w:rPr>
        <w:t>依托颍东区、颍上县现有煤炭资源，优化布局煤电一体化坑口电站项目，提高电力安全保障水平，积极推进阜阳口孜东坑口电厂站项目前期工作。</w:t>
      </w:r>
      <w:r>
        <w:rPr>
          <w:rFonts w:hint="eastAsia" w:ascii="仿宋_GB2312" w:hAnsi="仿宋_GB2312" w:eastAsia="仿宋_GB2312" w:cs="仿宋_GB2312"/>
          <w:b w:val="0"/>
          <w:bCs w:val="0"/>
          <w:kern w:val="2"/>
          <w:sz w:val="32"/>
          <w:szCs w:val="24"/>
          <w:lang w:val="en-US" w:eastAsia="zh-CN" w:bidi="ar-SA"/>
        </w:rPr>
        <w:t>鼓励发展热电联供、集中供热等供热方式，以天然气、电力等清洁燃料替代分散中小燃煤锅炉，淘汰现役低效、排放不达标锅炉。</w:t>
      </w:r>
    </w:p>
    <w:p w14:paraId="16A9F116">
      <w:pPr>
        <w:spacing w:line="600" w:lineRule="exact"/>
        <w:ind w:firstLine="643" w:firstLineChars="200"/>
        <w:rPr>
          <w:rFonts w:ascii="Times New Roman" w:hAnsi="Times New Roman" w:eastAsia="仿宋_GB2312"/>
          <w:sz w:val="32"/>
          <w:szCs w:val="32"/>
        </w:rPr>
      </w:pPr>
      <w:r>
        <w:rPr>
          <w:rFonts w:hint="eastAsia" w:ascii="Times New Roman" w:hAnsi="Times New Roman" w:eastAsia="仿宋_GB2312"/>
          <w:b/>
          <w:bCs/>
          <w:sz w:val="32"/>
          <w:szCs w:val="32"/>
        </w:rPr>
        <w:t>再生塑料利用。</w:t>
      </w:r>
      <w:r>
        <w:rPr>
          <w:rFonts w:hint="eastAsia" w:ascii="Times New Roman" w:hAnsi="Times New Roman" w:eastAsia="仿宋_GB2312"/>
          <w:sz w:val="32"/>
          <w:szCs w:val="32"/>
        </w:rPr>
        <w:t>重点发展废旧塑料再生造粒、高性能PE管道、仿羽绒化纤、木塑材料及其制品、可降解塑料等，</w:t>
      </w:r>
      <w:r>
        <w:rPr>
          <w:rFonts w:hint="eastAsia" w:ascii="Times New Roman" w:hAnsi="Times New Roman" w:eastAsia="仿宋_GB2312"/>
          <w:sz w:val="32"/>
          <w:szCs w:val="32"/>
          <w:lang w:val="zh-CN"/>
        </w:rPr>
        <w:t>围绕改性塑料、化纤纺织和注塑制品，推动实施高端改性塑料制品、压延和化纤产业。</w:t>
      </w:r>
      <w:r>
        <w:rPr>
          <w:rFonts w:hint="eastAsia" w:ascii="Times New Roman" w:hAnsi="Times New Roman" w:eastAsia="仿宋_GB2312"/>
          <w:sz w:val="32"/>
          <w:szCs w:val="32"/>
        </w:rPr>
        <w:t>鼓励安徽冠泓塑业、生宸源、安徽华晨塑业</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金吴再生资源、奥邦塑胶等龙头企业加大科研投入，加强废旧塑料再生利用和资源化技术攻关，对再生塑料进行高值化开发，重点开发应用于汽车、家电、电子电器领域的塑料与橡胶（弹性体）合金等二元甚至多元塑料合金。支持改性塑料颗粒企业研发改性专用料，以提高填料分散度，增强改性塑料物理性能。依托生宸源材料、瑞琦塑</w:t>
      </w:r>
      <w:r>
        <w:rPr>
          <w:rFonts w:hint="eastAsia" w:ascii="Times New Roman" w:hAnsi="Times New Roman" w:eastAsia="仿宋_GB2312"/>
          <w:sz w:val="32"/>
          <w:szCs w:val="32"/>
          <w:lang w:val="en-US" w:eastAsia="zh-CN"/>
        </w:rPr>
        <w:t>胶</w:t>
      </w:r>
      <w:r>
        <w:rPr>
          <w:rFonts w:hint="eastAsia" w:ascii="Times New Roman" w:hAnsi="Times New Roman" w:eastAsia="仿宋_GB2312"/>
          <w:sz w:val="32"/>
          <w:szCs w:val="32"/>
        </w:rPr>
        <w:t>、英标新材料等市政塑胶管材生产企业，重点发展高模量PP双壁波纹管、复合缠绕增强等大口径排水排污管、矿山用阻燃和抗静电的双抗塑料管</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超高分子量聚乙烯（UHMW-PE）管</w:t>
      </w:r>
      <w:r>
        <w:rPr>
          <w:rFonts w:hint="eastAsia" w:ascii="Times New Roman" w:hAnsi="Times New Roman" w:eastAsia="仿宋_GB2312"/>
          <w:sz w:val="32"/>
          <w:szCs w:val="32"/>
          <w:lang w:val="en-US" w:eastAsia="zh-CN"/>
        </w:rPr>
        <w:t>和</w:t>
      </w:r>
      <w:r>
        <w:rPr>
          <w:rFonts w:hint="eastAsia" w:ascii="Times New Roman" w:hAnsi="Times New Roman" w:eastAsia="仿宋_GB2312"/>
          <w:sz w:val="32"/>
          <w:szCs w:val="32"/>
        </w:rPr>
        <w:t>耐磨、耐腐蚀、耐热等特点特种介质输送用塑料管。鼓励再生塑料企业联合装备生产企业研发高效节能的塑料造粒机，推动再生塑料成套装备升级。</w:t>
      </w:r>
    </w:p>
    <w:p w14:paraId="3DE1D8A1">
      <w:pPr>
        <w:spacing w:line="600" w:lineRule="exact"/>
        <w:ind w:firstLine="643" w:firstLineChars="200"/>
        <w:rPr>
          <w:rFonts w:hint="eastAsia" w:ascii="Times New Roman" w:hAnsi="Times New Roman" w:eastAsia="仿宋_GB2312"/>
          <w:sz w:val="32"/>
          <w:szCs w:val="32"/>
        </w:rPr>
      </w:pPr>
      <w:r>
        <w:rPr>
          <w:rFonts w:hint="eastAsia" w:ascii="Times New Roman" w:hAnsi="Times New Roman" w:eastAsia="仿宋_GB2312"/>
          <w:b/>
          <w:bCs/>
          <w:sz w:val="32"/>
          <w:szCs w:val="32"/>
        </w:rPr>
        <w:t>秸秆综合利用。</w:t>
      </w:r>
      <w:r>
        <w:rPr>
          <w:rFonts w:hint="eastAsia" w:ascii="Times New Roman" w:hAnsi="Times New Roman" w:eastAsia="仿宋_GB2312"/>
          <w:sz w:val="32"/>
          <w:szCs w:val="32"/>
        </w:rPr>
        <w:t>充分发挥秸秆资源丰富的优势，深入实施清洁能源、工农复合型利用等工程，不断深化秸秆肥料化、饲料化、燃料化、基料化和原料化利用，加强秸秆在清洁纸浆、生物乙醇提取、建筑材料、产品包装、工艺编织等领域的利用；重点发展秸秆人造板材、复合材料、清洁制浆、木糖醇、可降解包装材料、墙体材料、盆钵等，培育发展秸秆精细化学品，包括生物炼制生产纤维素乙醇、丁醇生物基燃料，乳酸、羟基丁酸等生物基化学品，功能性低聚糖等生物活性物质，以及纳米纤维素等新兴生物基功能材料。以降低生产成本和提高产品性能为发展方向，增强耐磨性、抗紫外线、柔韧性、耐热性等能力，提高美观性及附加值，积极谋求与蚌埠等地生物基产业合作。</w:t>
      </w:r>
    </w:p>
    <w:p w14:paraId="5904D5E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（3）培育发展</w:t>
      </w:r>
    </w:p>
    <w:p w14:paraId="216BB136">
      <w:pPr>
        <w:keepNext w:val="0"/>
        <w:keepLines w:val="0"/>
        <w:pageBreakBefore w:val="0"/>
        <w:widowControl w:val="0"/>
        <w:kinsoku/>
        <w:wordWrap/>
        <w:overflowPunct/>
        <w:topLinePunct w:val="0"/>
        <w:autoSpaceDE/>
        <w:autoSpaceDN/>
        <w:bidi w:val="0"/>
        <w:adjustRightInd/>
        <w:snapToGrid/>
        <w:spacing w:after="0" w:line="600" w:lineRule="exact"/>
        <w:ind w:left="0" w:leftChars="0" w:firstLine="643" w:firstLineChars="200"/>
        <w:jc w:val="both"/>
        <w:textAlignment w:val="auto"/>
        <w:rPr>
          <w:rFonts w:hint="eastAsia" w:ascii="仿宋_GB2312" w:hAnsi="仿宋_GB2312" w:eastAsia="仿宋_GB2312" w:cs="仿宋_GB2312"/>
          <w:b w:val="0"/>
          <w:bCs w:val="0"/>
          <w:sz w:val="32"/>
          <w:lang w:val="en-US" w:eastAsia="zh-CN"/>
        </w:rPr>
      </w:pPr>
      <w:r>
        <w:rPr>
          <w:rFonts w:hint="eastAsia" w:ascii="仿宋_GB2312" w:hAnsi="仿宋_GB2312" w:eastAsia="仿宋_GB2312" w:cs="仿宋_GB2312"/>
          <w:b/>
          <w:bCs/>
          <w:sz w:val="32"/>
          <w:lang w:val="en-US" w:eastAsia="zh-CN"/>
        </w:rPr>
        <w:t>氢能。</w:t>
      </w:r>
      <w:r>
        <w:rPr>
          <w:rFonts w:hint="eastAsia" w:ascii="仿宋_GB2312" w:hAnsi="仿宋_GB2312" w:eastAsia="仿宋_GB2312" w:cs="仿宋_GB2312"/>
          <w:b w:val="0"/>
          <w:bCs w:val="0"/>
          <w:sz w:val="32"/>
          <w:lang w:val="en-US" w:eastAsia="zh-CN"/>
        </w:rPr>
        <w:t>壮大氢能源制造产业，结合阜阳产业布局和周边市场，鼓励晋煤中能化工、昊源化工、国泰化工等化工企业配套建设煤制氢设施。逐步培育发展设备产业，积极引进氢能设备制造企业，推动氢能产业延伸发展。推进东方电气（安徽）氢能产业科技园项目建设，</w:t>
      </w:r>
      <w:r>
        <w:rPr>
          <w:rFonts w:hint="eastAsia" w:ascii="仿宋_GB2312" w:hAnsi="仿宋_GB2312" w:eastAsia="仿宋_GB2312" w:cs="仿宋_GB2312"/>
          <w:b w:val="0"/>
          <w:bCs w:val="0"/>
          <w:sz w:val="32"/>
          <w:highlight w:val="none"/>
          <w:lang w:val="en-US" w:eastAsia="zh-CN"/>
        </w:rPr>
        <w:t>加快氢能综合能源站、燃料电池系统集成研发生产基地建设及氢燃料车示范推广等全产业链集群化发展应用</w:t>
      </w:r>
      <w:r>
        <w:rPr>
          <w:rFonts w:hint="eastAsia" w:ascii="仿宋_GB2312" w:hAnsi="仿宋_GB2312" w:eastAsia="仿宋_GB2312" w:cs="仿宋_GB2312"/>
          <w:b w:val="0"/>
          <w:bCs w:val="0"/>
          <w:sz w:val="32"/>
          <w:lang w:val="en-US" w:eastAsia="zh-CN"/>
        </w:rPr>
        <w:t>，积极打造长三角及中部地区氢能示范应用基地和氢能供应中心。</w:t>
      </w:r>
    </w:p>
    <w:p w14:paraId="14664799">
      <w:pPr>
        <w:keepNext w:val="0"/>
        <w:keepLines w:val="0"/>
        <w:pageBreakBefore w:val="0"/>
        <w:widowControl w:val="0"/>
        <w:kinsoku/>
        <w:wordWrap/>
        <w:overflowPunct/>
        <w:topLinePunct w:val="0"/>
        <w:autoSpaceDE/>
        <w:autoSpaceDN/>
        <w:bidi w:val="0"/>
        <w:adjustRightInd/>
        <w:snapToGrid/>
        <w:spacing w:after="0" w:line="600" w:lineRule="exact"/>
        <w:ind w:left="0" w:leftChars="0" w:firstLine="643" w:firstLineChars="200"/>
        <w:jc w:val="both"/>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热能。</w:t>
      </w:r>
      <w:r>
        <w:rPr>
          <w:rFonts w:hint="eastAsia" w:ascii="仿宋_GB2312" w:hAnsi="仿宋_GB2312" w:eastAsia="仿宋_GB2312" w:cs="仿宋_GB2312"/>
          <w:kern w:val="2"/>
          <w:sz w:val="32"/>
          <w:szCs w:val="32"/>
          <w:lang w:val="en-US" w:eastAsia="zh-CN" w:bidi="ar-SA"/>
        </w:rPr>
        <w:t>集约化、规模化开发利用地热资源，鼓励在资源条件优越的公共建筑以及大型居住社区、商务区和新城规划建设中，科学合理利用浅层地热能供暖制冷，重点推进阜阳城区、阜南田集镇等地热资源的开发利用。</w:t>
      </w:r>
    </w:p>
    <w:p w14:paraId="19BD2A72">
      <w:pPr>
        <w:spacing w:line="600" w:lineRule="exact"/>
        <w:ind w:firstLine="643" w:firstLineChars="200"/>
        <w:outlineLvl w:val="1"/>
        <w:rPr>
          <w:rFonts w:ascii="楷体_GB2312" w:hAnsi="楷体_GB2312" w:eastAsia="楷体_GB2312" w:cs="楷体_GB2312"/>
          <w:b/>
          <w:bCs/>
          <w:sz w:val="32"/>
          <w:szCs w:val="32"/>
        </w:rPr>
      </w:pPr>
      <w:bookmarkStart w:id="190" w:name="_Toc31890"/>
      <w:bookmarkStart w:id="191" w:name="_Toc32625"/>
      <w:bookmarkStart w:id="192" w:name="_Toc30186"/>
      <w:bookmarkStart w:id="193" w:name="_Toc17251"/>
      <w:bookmarkStart w:id="194" w:name="_Toc26829"/>
      <w:bookmarkStart w:id="195" w:name="_Toc10608"/>
      <w:bookmarkStart w:id="196" w:name="_Toc13379"/>
      <w:bookmarkStart w:id="197" w:name="_Toc6494"/>
      <w:bookmarkStart w:id="198" w:name="_Toc7134"/>
      <w:bookmarkStart w:id="199" w:name="_Toc17214"/>
      <w:bookmarkStart w:id="200" w:name="_Toc13603"/>
      <w:bookmarkStart w:id="201" w:name="_Toc32553"/>
      <w:bookmarkStart w:id="202" w:name="_Toc4575"/>
      <w:bookmarkStart w:id="203" w:name="_Toc1580"/>
      <w:bookmarkStart w:id="204" w:name="_Toc6728"/>
      <w:bookmarkStart w:id="205" w:name="_Toc13498"/>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二</w:t>
      </w:r>
      <w:r>
        <w:rPr>
          <w:rFonts w:hint="eastAsia" w:ascii="楷体_GB2312" w:hAnsi="楷体_GB2312" w:eastAsia="楷体_GB2312" w:cs="楷体_GB2312"/>
          <w:b/>
          <w:bCs/>
          <w:sz w:val="32"/>
          <w:szCs w:val="32"/>
        </w:rPr>
        <w:t>）新材料</w:t>
      </w:r>
      <w:r>
        <w:rPr>
          <w:rFonts w:ascii="楷体_GB2312" w:hAnsi="楷体_GB2312" w:eastAsia="楷体_GB2312" w:cs="楷体_GB2312"/>
          <w:b/>
          <w:bCs/>
          <w:sz w:val="32"/>
          <w:szCs w:val="32"/>
        </w:rPr>
        <w:t>产业</w:t>
      </w:r>
      <w:bookmarkEnd w:id="190"/>
      <w:bookmarkEnd w:id="191"/>
      <w:bookmarkEnd w:id="192"/>
      <w:bookmarkEnd w:id="193"/>
      <w:bookmarkEnd w:id="194"/>
      <w:bookmarkEnd w:id="195"/>
    </w:p>
    <w:p w14:paraId="26981126">
      <w:pPr>
        <w:spacing w:line="600" w:lineRule="exact"/>
        <w:ind w:firstLine="643" w:firstLineChars="200"/>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rPr>
        <w:t>1.发展目标</w:t>
      </w:r>
    </w:p>
    <w:p w14:paraId="6C4C62D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仿宋_GB2312" w:hAnsi="仿宋_GB2312" w:eastAsia="仿宋_GB2312" w:cs="仿宋_GB2312"/>
          <w:b/>
          <w:sz w:val="32"/>
          <w:szCs w:val="32"/>
        </w:rPr>
      </w:pPr>
      <w:r>
        <w:rPr>
          <w:rFonts w:hint="eastAsia" w:ascii="Times New Roman" w:hAnsi="Times New Roman" w:eastAsia="仿宋_GB2312"/>
          <w:sz w:val="32"/>
          <w:szCs w:val="32"/>
          <w:lang w:val="en"/>
        </w:rPr>
        <w:t>全面提升全市新材料产业竞争力，</w:t>
      </w:r>
      <w:r>
        <w:rPr>
          <w:rFonts w:hint="eastAsia" w:ascii="Times New Roman" w:hAnsi="Times New Roman" w:eastAsia="仿宋_GB2312"/>
          <w:sz w:val="32"/>
          <w:szCs w:val="32"/>
        </w:rPr>
        <w:t>到2025年，</w:t>
      </w:r>
      <w:r>
        <w:rPr>
          <w:rFonts w:hint="eastAsia" w:ascii="Times New Roman" w:hAnsi="Times New Roman" w:eastAsia="仿宋_GB2312"/>
          <w:sz w:val="32"/>
          <w:szCs w:val="32"/>
          <w:lang w:val="en"/>
        </w:rPr>
        <w:t>着力打造一批具有核心竞争力和带动力强、特色鲜明、优势互补的新材料特色产业集群，</w:t>
      </w:r>
      <w:r>
        <w:rPr>
          <w:rFonts w:hint="eastAsia" w:ascii="Times New Roman" w:hAnsi="Times New Roman" w:eastAsia="仿宋_GB2312"/>
          <w:sz w:val="32"/>
          <w:szCs w:val="32"/>
        </w:rPr>
        <w:t>形成产学研紧密结合、管理体系健全、具有较强自主创新能力的新材料产业发展体系</w:t>
      </w:r>
      <w:r>
        <w:rPr>
          <w:rFonts w:hint="eastAsia" w:ascii="Times New Roman" w:hAnsi="Times New Roman" w:eastAsia="仿宋_GB2312"/>
          <w:sz w:val="32"/>
          <w:szCs w:val="32"/>
          <w:lang w:eastAsia="zh-CN"/>
        </w:rPr>
        <w:t>，新材料工业总产值</w:t>
      </w:r>
      <w:r>
        <w:rPr>
          <w:rFonts w:hint="eastAsia" w:ascii="Times New Roman" w:hAnsi="Times New Roman" w:eastAsia="仿宋_GB2312"/>
          <w:sz w:val="32"/>
          <w:szCs w:val="32"/>
          <w:lang w:val="en-US" w:eastAsia="zh-CN"/>
        </w:rPr>
        <w:t>超过1000</w:t>
      </w:r>
      <w:r>
        <w:rPr>
          <w:rFonts w:hint="eastAsia" w:ascii="Times New Roman" w:hAnsi="Times New Roman" w:eastAsia="仿宋_GB2312"/>
          <w:sz w:val="32"/>
          <w:szCs w:val="32"/>
          <w:lang w:eastAsia="zh-CN"/>
        </w:rPr>
        <w:t>亿元</w:t>
      </w:r>
      <w:r>
        <w:rPr>
          <w:rFonts w:hint="eastAsia" w:ascii="Times New Roman" w:hAnsi="Times New Roman" w:eastAsia="仿宋_GB2312"/>
          <w:sz w:val="32"/>
          <w:szCs w:val="32"/>
        </w:rPr>
        <w:t>。</w:t>
      </w:r>
    </w:p>
    <w:p w14:paraId="51FC6B9F">
      <w:pPr>
        <w:spacing w:line="600" w:lineRule="exact"/>
        <w:ind w:firstLine="643" w:firstLineChars="200"/>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rPr>
        <w:t>2.发展现状</w:t>
      </w:r>
    </w:p>
    <w:p w14:paraId="1CBE0348">
      <w:pPr>
        <w:widowControl/>
        <w:spacing w:line="600" w:lineRule="exact"/>
        <w:ind w:firstLine="640" w:firstLineChars="200"/>
        <w:rPr>
          <w:rFonts w:ascii="Times New Roman" w:hAnsi="Times New Roman" w:eastAsia="仿宋_GB2312"/>
          <w:sz w:val="32"/>
          <w:szCs w:val="32"/>
        </w:rPr>
      </w:pPr>
      <w:r>
        <w:rPr>
          <w:rFonts w:hint="eastAsia" w:ascii="仿宋_GB2312" w:hAnsi="Times New Roman" w:eastAsia="仿宋_GB2312"/>
          <w:color w:val="000000"/>
          <w:sz w:val="32"/>
          <w:szCs w:val="32"/>
          <w:lang w:val="zh-CN" w:eastAsia="zh-CN"/>
        </w:rPr>
        <w:t>“十</w:t>
      </w:r>
      <w:r>
        <w:rPr>
          <w:rFonts w:hint="eastAsia" w:ascii="仿宋_GB2312" w:hAnsi="Times New Roman" w:eastAsia="仿宋_GB2312"/>
          <w:color w:val="000000"/>
          <w:sz w:val="32"/>
          <w:szCs w:val="32"/>
        </w:rPr>
        <w:t>三五</w:t>
      </w:r>
      <w:r>
        <w:rPr>
          <w:rFonts w:hint="eastAsia" w:ascii="仿宋_GB2312" w:hAnsi="Times New Roman" w:eastAsia="仿宋_GB2312"/>
          <w:color w:val="000000"/>
          <w:sz w:val="32"/>
          <w:szCs w:val="32"/>
          <w:lang w:eastAsia="zh-CN"/>
        </w:rPr>
        <w:t>”</w:t>
      </w:r>
      <w:r>
        <w:rPr>
          <w:rFonts w:hint="eastAsia" w:ascii="仿宋_GB2312" w:hAnsi="Times New Roman" w:eastAsia="仿宋_GB2312"/>
          <w:color w:val="000000"/>
          <w:sz w:val="32"/>
          <w:szCs w:val="32"/>
        </w:rPr>
        <w:t>期间</w:t>
      </w:r>
      <w:r>
        <w:rPr>
          <w:rFonts w:hint="eastAsia" w:ascii="仿宋_GB2312" w:hAnsi="Times New Roman" w:eastAsia="仿宋_GB2312"/>
          <w:color w:val="000000"/>
          <w:sz w:val="32"/>
          <w:szCs w:val="32"/>
          <w:lang w:eastAsia="zh-CN"/>
        </w:rPr>
        <w:t>，</w:t>
      </w:r>
      <w:r>
        <w:rPr>
          <w:rFonts w:hint="eastAsia" w:ascii="仿宋_GB2312" w:hAnsi="Times New Roman" w:eastAsia="仿宋_GB2312"/>
          <w:color w:val="000000"/>
          <w:sz w:val="32"/>
          <w:szCs w:val="32"/>
        </w:rPr>
        <w:t>全</w:t>
      </w:r>
      <w:r>
        <w:rPr>
          <w:rFonts w:hint="eastAsia" w:ascii="仿宋_GB2312" w:hAnsi="Times New Roman" w:eastAsia="仿宋_GB2312"/>
          <w:color w:val="000000"/>
          <w:sz w:val="32"/>
          <w:szCs w:val="32"/>
          <w:lang w:val="en-US" w:eastAsia="zh-CN"/>
        </w:rPr>
        <w:t>市</w:t>
      </w:r>
      <w:r>
        <w:rPr>
          <w:rFonts w:hint="eastAsia" w:ascii="仿宋_GB2312" w:hAnsi="Times New Roman" w:eastAsia="仿宋_GB2312"/>
          <w:color w:val="000000"/>
          <w:sz w:val="32"/>
          <w:szCs w:val="32"/>
        </w:rPr>
        <w:t>新材料产业规模进一步发展壮大，2020年新材料产业总产值突破</w:t>
      </w:r>
      <w:r>
        <w:rPr>
          <w:rFonts w:hint="eastAsia" w:ascii="仿宋_GB2312" w:hAnsi="Times New Roman" w:eastAsia="仿宋_GB2312"/>
          <w:color w:val="000000"/>
          <w:sz w:val="32"/>
          <w:szCs w:val="32"/>
          <w:lang w:val="en-US" w:eastAsia="zh-CN"/>
        </w:rPr>
        <w:t>660</w:t>
      </w:r>
      <w:r>
        <w:rPr>
          <w:rFonts w:hint="eastAsia" w:ascii="仿宋_GB2312" w:hAnsi="Times New Roman" w:eastAsia="仿宋_GB2312"/>
          <w:color w:val="000000"/>
          <w:sz w:val="32"/>
          <w:szCs w:val="32"/>
        </w:rPr>
        <w:t>亿元，</w:t>
      </w:r>
      <w:r>
        <w:rPr>
          <w:rFonts w:hint="eastAsia" w:ascii="仿宋_GB2312" w:hAnsi="Times New Roman" w:eastAsia="仿宋_GB2312"/>
          <w:color w:val="000000"/>
          <w:sz w:val="32"/>
          <w:szCs w:val="32"/>
          <w:lang w:val="en-US" w:eastAsia="zh-CN"/>
        </w:rPr>
        <w:t>5年间实现产值翻倍，</w:t>
      </w:r>
      <w:r>
        <w:rPr>
          <w:rFonts w:hint="eastAsia" w:ascii="仿宋_GB2312" w:hAnsi="Times New Roman" w:eastAsia="仿宋_GB2312"/>
          <w:color w:val="000000"/>
          <w:sz w:val="32"/>
          <w:szCs w:val="32"/>
        </w:rPr>
        <w:t>年均增长约</w:t>
      </w:r>
      <w:r>
        <w:rPr>
          <w:rFonts w:hint="eastAsia" w:ascii="仿宋_GB2312" w:hAnsi="Times New Roman" w:eastAsia="仿宋_GB2312"/>
          <w:color w:val="000000"/>
          <w:sz w:val="32"/>
          <w:szCs w:val="32"/>
          <w:lang w:val="en-US" w:eastAsia="zh-CN"/>
        </w:rPr>
        <w:t>15</w:t>
      </w:r>
      <w:r>
        <w:rPr>
          <w:rFonts w:hint="eastAsia" w:ascii="仿宋_GB2312" w:hAnsi="Times New Roman" w:eastAsia="仿宋_GB2312"/>
          <w:color w:val="000000"/>
          <w:sz w:val="32"/>
          <w:szCs w:val="32"/>
        </w:rPr>
        <w:t>%</w:t>
      </w:r>
      <w:r>
        <w:rPr>
          <w:rFonts w:hint="eastAsia" w:ascii="仿宋_GB2312" w:hAnsi="Times New Roman" w:eastAsia="仿宋_GB2312"/>
          <w:color w:val="000000"/>
          <w:sz w:val="32"/>
          <w:szCs w:val="32"/>
          <w:lang w:eastAsia="zh-CN"/>
        </w:rPr>
        <w:t>；</w:t>
      </w:r>
      <w:r>
        <w:rPr>
          <w:rFonts w:hint="eastAsia" w:ascii="仿宋_GB2312" w:hAnsi="Times New Roman" w:eastAsia="仿宋_GB2312"/>
          <w:b w:val="0"/>
          <w:bCs w:val="0"/>
          <w:color w:val="000000"/>
          <w:sz w:val="32"/>
          <w:szCs w:val="32"/>
        </w:rPr>
        <w:t>创新能力不断提升</w:t>
      </w:r>
      <w:r>
        <w:rPr>
          <w:rFonts w:hint="eastAsia" w:ascii="仿宋_GB2312" w:hAnsi="Times New Roman" w:eastAsia="仿宋_GB2312"/>
          <w:b w:val="0"/>
          <w:bCs w:val="0"/>
          <w:color w:val="000000"/>
          <w:sz w:val="32"/>
          <w:szCs w:val="32"/>
          <w:lang w:eastAsia="zh-CN"/>
        </w:rPr>
        <w:t>，</w:t>
      </w:r>
      <w:r>
        <w:rPr>
          <w:rFonts w:hint="eastAsia" w:ascii="仿宋_GB2312" w:hAnsi="Times New Roman" w:eastAsia="仿宋_GB2312"/>
          <w:b w:val="0"/>
          <w:bCs w:val="0"/>
          <w:color w:val="000000"/>
          <w:sz w:val="32"/>
          <w:szCs w:val="32"/>
          <w:lang w:val="en-US" w:eastAsia="zh-CN"/>
        </w:rPr>
        <w:t>2020年</w:t>
      </w:r>
      <w:r>
        <w:rPr>
          <w:rFonts w:hint="eastAsia" w:ascii="仿宋_GB2312" w:hAnsi="Times New Roman" w:eastAsia="仿宋_GB2312"/>
          <w:color w:val="000000"/>
          <w:sz w:val="32"/>
          <w:szCs w:val="32"/>
        </w:rPr>
        <w:t>新材料企业科技研发总投入超过19亿元，同比上年增加16.6%</w:t>
      </w:r>
      <w:r>
        <w:rPr>
          <w:rFonts w:hint="eastAsia" w:ascii="仿宋_GB2312" w:hAnsi="Times New Roman" w:eastAsia="仿宋_GB2312"/>
          <w:color w:val="000000"/>
          <w:sz w:val="32"/>
          <w:szCs w:val="32"/>
          <w:lang w:eastAsia="zh-CN"/>
        </w:rPr>
        <w:t>；</w:t>
      </w:r>
      <w:r>
        <w:rPr>
          <w:rFonts w:hint="eastAsia" w:ascii="仿宋_GB2312" w:hAnsi="Times New Roman" w:eastAsia="仿宋_GB2312"/>
          <w:color w:val="000000"/>
          <w:sz w:val="32"/>
          <w:szCs w:val="32"/>
        </w:rPr>
        <w:t>产业集聚</w:t>
      </w:r>
      <w:r>
        <w:rPr>
          <w:rFonts w:hint="eastAsia" w:ascii="仿宋_GB2312" w:hAnsi="Times New Roman" w:eastAsia="仿宋_GB2312"/>
          <w:color w:val="000000"/>
          <w:sz w:val="32"/>
          <w:szCs w:val="32"/>
          <w:lang w:eastAsia="zh-CN"/>
        </w:rPr>
        <w:t>效应初显，已</w:t>
      </w:r>
      <w:r>
        <w:rPr>
          <w:rFonts w:hint="eastAsia" w:ascii="仿宋_GB2312" w:hAnsi="Times New Roman" w:eastAsia="仿宋_GB2312"/>
          <w:color w:val="000000"/>
          <w:sz w:val="32"/>
          <w:szCs w:val="32"/>
        </w:rPr>
        <w:t>逐渐形成以高性能功能膜材料、高性能纤维及复合材料、铝基新材料、医药新材料、煤基新材料、磁性功能材料、清洁能源材料及电子信息材料为重点的8大产业细分领域。</w:t>
      </w:r>
      <w:r>
        <w:rPr>
          <w:rFonts w:hint="eastAsia" w:ascii="Times New Roman" w:hAnsi="Times New Roman" w:eastAsia="仿宋_GB2312"/>
          <w:sz w:val="32"/>
          <w:szCs w:val="32"/>
        </w:rPr>
        <w:t>阜阳市磁性功能材料重大新兴产业专项和界首市新型化学纤维及功能纺织材料重大新兴产业专项获省第四批省重大新兴产业专项认定；智磁新材料、一鸣新材料等三家企业产品获得省级“首批次”新材料认定，新材料产业发展基础不断增强。</w:t>
      </w:r>
    </w:p>
    <w:p w14:paraId="7B33D256">
      <w:pPr>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但新材料产业还存在一些亟待解决的短板。企业科技创新能力不强，跟踪仿制多，缺乏拥有自主知识产权的产品及技术，在高端产品领域缺乏竞争力。产品种类繁杂，产业分布较为散乱，未出台专项政策指导新材料产业发展，尚未形成产业联盟体，同时统计监测体系尚不健全，难以有效跟踪产业发展状况。</w:t>
      </w:r>
    </w:p>
    <w:p w14:paraId="0275BE22">
      <w:pPr>
        <w:spacing w:line="600" w:lineRule="exact"/>
        <w:ind w:firstLine="643" w:firstLineChars="200"/>
        <w:outlineLvl w:val="9"/>
        <w:rPr>
          <w:rFonts w:hint="eastAsia" w:ascii="仿宋_GB2312" w:hAnsi="仿宋_GB2312" w:eastAsia="仿宋_GB2312" w:cs="仿宋_GB2312"/>
          <w:b/>
          <w:sz w:val="32"/>
          <w:szCs w:val="32"/>
          <w:lang w:val="en-US" w:eastAsia="zh-CN"/>
        </w:rPr>
      </w:pPr>
    </w:p>
    <w:p w14:paraId="7DBB021F">
      <w:pPr>
        <w:spacing w:line="600" w:lineRule="exact"/>
        <w:ind w:firstLine="643" w:firstLineChars="200"/>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lang w:val="en-US" w:eastAsia="zh-CN"/>
        </w:rPr>
        <w:t>3</w:t>
      </w:r>
      <w:r>
        <w:rPr>
          <w:rFonts w:hint="eastAsia" w:ascii="仿宋_GB2312" w:hAnsi="仿宋_GB2312" w:eastAsia="仿宋_GB2312" w:cs="仿宋_GB2312"/>
          <w:b/>
          <w:sz w:val="32"/>
          <w:szCs w:val="32"/>
        </w:rPr>
        <w:t>.发展思路</w:t>
      </w:r>
    </w:p>
    <w:p w14:paraId="54EBA24C">
      <w:pPr>
        <w:spacing w:line="600" w:lineRule="exact"/>
        <w:ind w:firstLine="643" w:firstLineChars="200"/>
        <w:rPr>
          <w:rFonts w:hint="eastAsia" w:ascii="Times New Roman" w:hAnsi="Times New Roman" w:eastAsia="仿宋_GB2312"/>
          <w:sz w:val="32"/>
          <w:szCs w:val="32"/>
          <w:lang w:eastAsia="zh-CN"/>
        </w:rPr>
      </w:pPr>
      <w:r>
        <w:rPr>
          <w:rFonts w:hint="eastAsia" w:ascii="Times New Roman" w:hAnsi="Times New Roman" w:eastAsia="仿宋_GB2312"/>
          <w:b/>
          <w:bCs/>
          <w:sz w:val="32"/>
          <w:szCs w:val="32"/>
        </w:rPr>
        <w:t>（1）</w:t>
      </w:r>
      <w:r>
        <w:rPr>
          <w:rFonts w:hint="eastAsia" w:ascii="Times New Roman" w:hAnsi="Times New Roman" w:eastAsia="仿宋_GB2312"/>
          <w:b/>
          <w:bCs/>
          <w:sz w:val="32"/>
          <w:szCs w:val="32"/>
          <w:lang w:eastAsia="zh-CN"/>
        </w:rPr>
        <w:t>积极</w:t>
      </w:r>
      <w:r>
        <w:rPr>
          <w:rFonts w:hint="eastAsia" w:ascii="Times New Roman" w:hAnsi="Times New Roman" w:eastAsia="仿宋_GB2312"/>
          <w:b/>
          <w:bCs/>
          <w:sz w:val="32"/>
          <w:szCs w:val="32"/>
        </w:rPr>
        <w:t>承接</w:t>
      </w:r>
      <w:r>
        <w:rPr>
          <w:rFonts w:hint="eastAsia" w:ascii="Times New Roman" w:hAnsi="Times New Roman" w:eastAsia="仿宋_GB2312"/>
          <w:b/>
          <w:bCs/>
          <w:sz w:val="32"/>
          <w:szCs w:val="32"/>
          <w:lang w:eastAsia="zh-CN"/>
        </w:rPr>
        <w:t>新材料产业转移</w:t>
      </w:r>
      <w:r>
        <w:rPr>
          <w:rFonts w:hint="eastAsia" w:ascii="Times New Roman" w:hAnsi="Times New Roman" w:eastAsia="仿宋_GB2312"/>
          <w:b/>
          <w:bCs/>
          <w:sz w:val="32"/>
          <w:szCs w:val="32"/>
        </w:rPr>
        <w:t>。</w:t>
      </w:r>
      <w:r>
        <w:rPr>
          <w:rFonts w:hint="eastAsia" w:ascii="Times New Roman" w:hAnsi="Times New Roman" w:eastAsia="仿宋_GB2312"/>
          <w:sz w:val="32"/>
          <w:szCs w:val="32"/>
          <w:lang w:eastAsia="zh-CN"/>
        </w:rPr>
        <w:t>围绕</w:t>
      </w:r>
      <w:r>
        <w:rPr>
          <w:rFonts w:hint="eastAsia" w:ascii="Times New Roman" w:hAnsi="Times New Roman" w:eastAsia="仿宋_GB2312"/>
          <w:sz w:val="32"/>
          <w:szCs w:val="32"/>
        </w:rPr>
        <w:t>“高新基”产业发展需求，以高端产品、市场需求为导向，充分发挥区位、资源等比较优势，紧密对接高端装备制造、</w:t>
      </w:r>
      <w:r>
        <w:rPr>
          <w:rFonts w:hint="eastAsia" w:ascii="Times New Roman" w:hAnsi="Times New Roman" w:eastAsia="仿宋_GB2312"/>
          <w:sz w:val="32"/>
          <w:szCs w:val="32"/>
          <w:lang w:val="en-US" w:eastAsia="zh-CN"/>
        </w:rPr>
        <w:t>电子信息及光电显示</w:t>
      </w:r>
      <w:r>
        <w:rPr>
          <w:rFonts w:hint="eastAsia" w:ascii="Times New Roman" w:hAnsi="Times New Roman" w:eastAsia="仿宋_GB2312"/>
          <w:sz w:val="32"/>
          <w:szCs w:val="32"/>
        </w:rPr>
        <w:t>、新能源电池等产业，搭建新材料</w:t>
      </w:r>
      <w:r>
        <w:rPr>
          <w:rFonts w:hint="eastAsia" w:ascii="Times New Roman" w:hAnsi="Times New Roman" w:eastAsia="仿宋_GB2312"/>
          <w:sz w:val="32"/>
          <w:szCs w:val="32"/>
          <w:lang w:eastAsia="zh-CN"/>
        </w:rPr>
        <w:t>产业</w:t>
      </w:r>
      <w:r>
        <w:rPr>
          <w:rFonts w:hint="eastAsia" w:ascii="Times New Roman" w:hAnsi="Times New Roman" w:eastAsia="仿宋_GB2312"/>
          <w:sz w:val="32"/>
          <w:szCs w:val="32"/>
        </w:rPr>
        <w:t>供需对接平台</w:t>
      </w:r>
      <w:r>
        <w:rPr>
          <w:rFonts w:hint="eastAsia" w:ascii="Times New Roman" w:hAnsi="Times New Roman" w:eastAsia="仿宋_GB2312"/>
          <w:sz w:val="32"/>
          <w:szCs w:val="32"/>
          <w:lang w:eastAsia="zh-CN"/>
        </w:rPr>
        <w:t>。</w:t>
      </w:r>
      <w:r>
        <w:rPr>
          <w:rFonts w:hint="eastAsia" w:ascii="仿宋_GB2312" w:hAnsi="Times New Roman" w:eastAsia="仿宋_GB2312"/>
          <w:color w:val="000000"/>
          <w:sz w:val="32"/>
          <w:szCs w:val="32"/>
        </w:rPr>
        <w:t>结合产业集群建设，推进一批强链补链</w:t>
      </w:r>
      <w:r>
        <w:rPr>
          <w:rFonts w:hint="eastAsia" w:ascii="仿宋_GB2312" w:hAnsi="Times New Roman" w:eastAsia="仿宋_GB2312"/>
          <w:color w:val="000000"/>
          <w:sz w:val="32"/>
          <w:szCs w:val="32"/>
          <w:lang w:eastAsia="zh-CN"/>
        </w:rPr>
        <w:t>延链</w:t>
      </w:r>
      <w:r>
        <w:rPr>
          <w:rFonts w:hint="eastAsia" w:ascii="仿宋_GB2312" w:hAnsi="Times New Roman" w:eastAsia="仿宋_GB2312"/>
          <w:color w:val="000000"/>
          <w:sz w:val="32"/>
          <w:szCs w:val="32"/>
        </w:rPr>
        <w:t>项目落地</w:t>
      </w:r>
      <w:r>
        <w:rPr>
          <w:rFonts w:hint="eastAsia" w:ascii="仿宋_GB2312" w:hAnsi="Times New Roman" w:eastAsia="仿宋_GB2312"/>
          <w:color w:val="000000"/>
          <w:sz w:val="32"/>
          <w:szCs w:val="32"/>
          <w:lang w:eastAsia="zh-CN"/>
        </w:rPr>
        <w:t>，</w:t>
      </w:r>
      <w:r>
        <w:rPr>
          <w:rFonts w:hint="eastAsia" w:ascii="仿宋_GB2312" w:hAnsi="Times New Roman" w:eastAsia="仿宋_GB2312"/>
          <w:color w:val="000000"/>
          <w:sz w:val="32"/>
          <w:szCs w:val="32"/>
        </w:rPr>
        <w:t>重点推动一批技术成果转化项目和重大应用示范项目，加速前沿新材料产业化与应用推广。</w:t>
      </w:r>
    </w:p>
    <w:p w14:paraId="289E6517">
      <w:pPr>
        <w:pageBreakBefore w:val="0"/>
        <w:widowControl/>
        <w:kinsoku/>
        <w:wordWrap/>
        <w:overflowPunct/>
        <w:topLinePunct w:val="0"/>
        <w:autoSpaceDE/>
        <w:autoSpaceDN/>
        <w:bidi w:val="0"/>
        <w:adjustRightInd/>
        <w:snapToGrid/>
        <w:spacing w:line="600" w:lineRule="exact"/>
        <w:ind w:firstLine="643" w:firstLineChars="200"/>
        <w:textAlignment w:val="auto"/>
        <w:rPr>
          <w:rFonts w:hint="eastAsia" w:ascii="仿宋_GB2312" w:hAnsi="Times New Roman" w:eastAsia="仿宋_GB2312"/>
          <w:b w:val="0"/>
          <w:bCs w:val="0"/>
          <w:color w:val="000000"/>
          <w:sz w:val="32"/>
          <w:szCs w:val="32"/>
        </w:rPr>
      </w:pPr>
      <w:r>
        <w:rPr>
          <w:rFonts w:hint="eastAsia" w:ascii="Times New Roman" w:hAnsi="Times New Roman" w:eastAsia="仿宋_GB2312"/>
          <w:b/>
          <w:bCs/>
          <w:sz w:val="32"/>
          <w:szCs w:val="32"/>
          <w:lang w:eastAsia="zh-CN"/>
        </w:rPr>
        <w:t>（</w:t>
      </w:r>
      <w:r>
        <w:rPr>
          <w:rFonts w:hint="eastAsia" w:ascii="Times New Roman" w:hAnsi="Times New Roman" w:eastAsia="仿宋_GB2312"/>
          <w:b/>
          <w:bCs/>
          <w:sz w:val="32"/>
          <w:szCs w:val="32"/>
          <w:lang w:val="en-US" w:eastAsia="zh-CN"/>
        </w:rPr>
        <w:t>2</w:t>
      </w:r>
      <w:r>
        <w:rPr>
          <w:rFonts w:hint="eastAsia" w:ascii="Times New Roman" w:hAnsi="Times New Roman" w:eastAsia="仿宋_GB2312"/>
          <w:b/>
          <w:bCs/>
          <w:sz w:val="32"/>
          <w:szCs w:val="32"/>
          <w:lang w:eastAsia="zh-CN"/>
        </w:rPr>
        <w:t>）提升新材料产业技术创新能力。</w:t>
      </w:r>
      <w:r>
        <w:rPr>
          <w:rFonts w:hint="eastAsia" w:ascii="Times New Roman" w:hAnsi="Times New Roman" w:eastAsia="仿宋_GB2312"/>
          <w:sz w:val="32"/>
          <w:szCs w:val="32"/>
        </w:rPr>
        <w:t>以高校和研究院为主体，鼓励企业参与建设材料设计与性能预测研发平台，实现科研资源的共享</w:t>
      </w:r>
      <w:r>
        <w:rPr>
          <w:rFonts w:hint="eastAsia" w:ascii="Times New Roman" w:hAnsi="Times New Roman" w:eastAsia="仿宋_GB2312"/>
          <w:sz w:val="32"/>
          <w:szCs w:val="32"/>
          <w:lang w:eastAsia="zh-CN"/>
        </w:rPr>
        <w:t>。</w:t>
      </w:r>
      <w:r>
        <w:rPr>
          <w:rFonts w:hint="eastAsia" w:ascii="Times New Roman" w:hAnsi="Times New Roman" w:eastAsia="仿宋_GB2312"/>
          <w:color w:val="auto"/>
          <w:sz w:val="32"/>
          <w:szCs w:val="32"/>
        </w:rPr>
        <w:t>在煤</w:t>
      </w:r>
      <w:r>
        <w:rPr>
          <w:rFonts w:hint="eastAsia" w:ascii="Times New Roman" w:hAnsi="Times New Roman" w:eastAsia="仿宋_GB2312"/>
          <w:sz w:val="32"/>
          <w:szCs w:val="32"/>
        </w:rPr>
        <w:t>基新材料、</w:t>
      </w:r>
      <w:r>
        <w:rPr>
          <w:rFonts w:hint="eastAsia" w:ascii="Times New Roman" w:hAnsi="Times New Roman" w:eastAsia="仿宋_GB2312"/>
          <w:sz w:val="32"/>
          <w:szCs w:val="32"/>
          <w:lang w:eastAsia="zh-CN"/>
        </w:rPr>
        <w:t>电子信息</w:t>
      </w:r>
      <w:r>
        <w:rPr>
          <w:rFonts w:hint="eastAsia" w:ascii="Times New Roman" w:hAnsi="Times New Roman" w:eastAsia="仿宋_GB2312"/>
          <w:sz w:val="32"/>
          <w:szCs w:val="32"/>
        </w:rPr>
        <w:t>新材料等产业基础较好或转型升级带动明显的重点领域</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支持培育长三角协同创新示范项目，针对行业关键技术进行联合攻关，带动新材料全产业链协同创新。</w:t>
      </w:r>
    </w:p>
    <w:p w14:paraId="0ADBA5DE">
      <w:pPr>
        <w:spacing w:line="600" w:lineRule="exact"/>
        <w:ind w:firstLine="643" w:firstLineChars="200"/>
        <w:rPr>
          <w:rFonts w:hint="eastAsia" w:ascii="Times New Roman" w:hAnsi="Times New Roman" w:eastAsia="仿宋_GB2312"/>
          <w:sz w:val="32"/>
          <w:szCs w:val="32"/>
        </w:rPr>
      </w:pPr>
      <w:r>
        <w:rPr>
          <w:rFonts w:hint="eastAsia" w:ascii="Times New Roman" w:hAnsi="Times New Roman" w:eastAsia="仿宋_GB2312"/>
          <w:b/>
          <w:bCs/>
          <w:sz w:val="32"/>
          <w:szCs w:val="32"/>
          <w:lang w:eastAsia="zh-CN"/>
        </w:rPr>
        <w:t>（</w:t>
      </w:r>
      <w:r>
        <w:rPr>
          <w:rFonts w:hint="eastAsia" w:ascii="Times New Roman" w:hAnsi="Times New Roman" w:eastAsia="仿宋_GB2312"/>
          <w:b/>
          <w:bCs/>
          <w:sz w:val="32"/>
          <w:szCs w:val="32"/>
          <w:lang w:val="en-US" w:eastAsia="zh-CN"/>
        </w:rPr>
        <w:t>3</w:t>
      </w:r>
      <w:r>
        <w:rPr>
          <w:rFonts w:hint="eastAsia" w:ascii="Times New Roman" w:hAnsi="Times New Roman" w:eastAsia="仿宋_GB2312"/>
          <w:b/>
          <w:bCs/>
          <w:sz w:val="32"/>
          <w:szCs w:val="32"/>
          <w:lang w:eastAsia="zh-CN"/>
        </w:rPr>
        <w:t>）促进新材料</w:t>
      </w:r>
      <w:r>
        <w:rPr>
          <w:rFonts w:hint="eastAsia" w:ascii="Times New Roman" w:hAnsi="Times New Roman" w:eastAsia="仿宋_GB2312"/>
          <w:b/>
          <w:bCs/>
          <w:sz w:val="32"/>
          <w:szCs w:val="32"/>
        </w:rPr>
        <w:t>产业</w:t>
      </w:r>
      <w:r>
        <w:rPr>
          <w:rFonts w:hint="eastAsia" w:ascii="Times New Roman" w:hAnsi="Times New Roman" w:eastAsia="仿宋_GB2312"/>
          <w:b/>
          <w:bCs/>
          <w:sz w:val="32"/>
          <w:szCs w:val="32"/>
          <w:lang w:eastAsia="zh-CN"/>
        </w:rPr>
        <w:t>集聚发展。</w:t>
      </w:r>
      <w:r>
        <w:rPr>
          <w:rFonts w:hint="eastAsia" w:ascii="Times New Roman" w:hAnsi="Times New Roman" w:eastAsia="仿宋_GB2312"/>
          <w:sz w:val="32"/>
          <w:szCs w:val="32"/>
          <w:lang w:eastAsia="zh-CN"/>
        </w:rPr>
        <w:t>以龙头企业为中心</w:t>
      </w:r>
      <w:r>
        <w:rPr>
          <w:rFonts w:hint="eastAsia" w:ascii="Times New Roman" w:hAnsi="Times New Roman" w:eastAsia="仿宋_GB2312"/>
          <w:sz w:val="32"/>
          <w:szCs w:val="32"/>
        </w:rPr>
        <w:t>，推动区域特色新材料产业发展壮大。</w:t>
      </w:r>
      <w:r>
        <w:rPr>
          <w:rFonts w:hint="eastAsia" w:ascii="Times New Roman" w:hAnsi="Times New Roman" w:eastAsia="仿宋_GB2312"/>
          <w:b w:val="0"/>
          <w:bCs w:val="0"/>
          <w:sz w:val="32"/>
          <w:szCs w:val="32"/>
          <w:lang w:val="en-US" w:eastAsia="zh-CN"/>
        </w:rPr>
        <w:t>支持</w:t>
      </w:r>
      <w:r>
        <w:rPr>
          <w:rFonts w:hint="eastAsia" w:ascii="Times New Roman" w:hAnsi="Times New Roman" w:eastAsia="仿宋_GB2312"/>
          <w:sz w:val="32"/>
          <w:szCs w:val="32"/>
        </w:rPr>
        <w:t>欣奕华、天畅金属、天鸿新材料等企业</w:t>
      </w:r>
      <w:r>
        <w:rPr>
          <w:rFonts w:hint="eastAsia" w:ascii="Times New Roman" w:hAnsi="Times New Roman" w:eastAsia="仿宋_GB2312"/>
          <w:sz w:val="32"/>
          <w:szCs w:val="32"/>
          <w:lang w:val="en-US" w:eastAsia="zh-CN"/>
        </w:rPr>
        <w:t>做大做强</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遴选</w:t>
      </w:r>
      <w:r>
        <w:rPr>
          <w:rFonts w:hint="eastAsia" w:ascii="Times New Roman" w:hAnsi="Times New Roman" w:eastAsia="仿宋_GB2312"/>
          <w:sz w:val="32"/>
          <w:szCs w:val="32"/>
          <w:lang w:val="en"/>
        </w:rPr>
        <w:t>一批科技含量高、市场潜力大、规范性强的企业纳入</w:t>
      </w:r>
      <w:r>
        <w:rPr>
          <w:rFonts w:hint="eastAsia" w:ascii="Times New Roman" w:hAnsi="Times New Roman" w:eastAsia="仿宋_GB2312"/>
          <w:sz w:val="32"/>
          <w:szCs w:val="32"/>
          <w:lang w:val="en" w:eastAsia="zh-CN"/>
        </w:rPr>
        <w:t>龙头企业</w:t>
      </w:r>
      <w:r>
        <w:rPr>
          <w:rFonts w:hint="eastAsia" w:ascii="Times New Roman" w:hAnsi="Times New Roman" w:eastAsia="仿宋_GB2312"/>
          <w:sz w:val="32"/>
          <w:szCs w:val="32"/>
          <w:lang w:val="en"/>
        </w:rPr>
        <w:t>培育计划</w:t>
      </w:r>
      <w:r>
        <w:rPr>
          <w:rFonts w:hint="eastAsia" w:ascii="Times New Roman" w:hAnsi="Times New Roman" w:eastAsia="仿宋_GB2312"/>
          <w:sz w:val="32"/>
          <w:szCs w:val="32"/>
          <w:highlight w:val="none"/>
          <w:lang w:val="en"/>
        </w:rPr>
        <w:t>。</w:t>
      </w:r>
      <w:r>
        <w:rPr>
          <w:rFonts w:hint="eastAsia" w:ascii="Times New Roman" w:hAnsi="Times New Roman" w:eastAsia="仿宋_GB2312"/>
          <w:sz w:val="32"/>
          <w:szCs w:val="32"/>
        </w:rPr>
        <w:t>发挥阜阳经开区</w:t>
      </w:r>
      <w:r>
        <w:rPr>
          <w:rFonts w:hint="eastAsia" w:ascii="Times New Roman" w:hAnsi="Times New Roman" w:eastAsia="仿宋_GB2312"/>
          <w:sz w:val="32"/>
          <w:szCs w:val="32"/>
          <w:lang w:eastAsia="zh-CN"/>
        </w:rPr>
        <w:t>北矿公司</w:t>
      </w:r>
      <w:r>
        <w:rPr>
          <w:rFonts w:hint="eastAsia" w:ascii="Times New Roman" w:hAnsi="Times New Roman" w:eastAsia="仿宋_GB2312"/>
          <w:sz w:val="32"/>
          <w:szCs w:val="32"/>
        </w:rPr>
        <w:t>永磁产业、颍泉区智磁公司软磁产业的集聚优势，打造先进的磁性材料产业基地；依托界首光武科技园再生塑料及功能塑料产业链、功能性纺织新材料产业链等，形成高性能纤维及复合材料产业基地。引导在阜阳市形成围绕电子信息材料、医药材料、清洁能源材料、铝基材料、煤基材料等特色领域建立若干个集聚区。</w:t>
      </w:r>
    </w:p>
    <w:p w14:paraId="3CD67E8F">
      <w:pPr>
        <w:spacing w:line="600" w:lineRule="exact"/>
        <w:ind w:firstLine="643" w:firstLineChars="200"/>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lang w:val="en-US" w:eastAsia="zh-CN"/>
        </w:rPr>
        <w:t>4</w:t>
      </w:r>
      <w:r>
        <w:rPr>
          <w:rFonts w:hint="eastAsia" w:ascii="仿宋_GB2312" w:hAnsi="仿宋_GB2312" w:eastAsia="仿宋_GB2312" w:cs="仿宋_GB2312"/>
          <w:b/>
          <w:sz w:val="32"/>
          <w:szCs w:val="32"/>
        </w:rPr>
        <w:t>.发展重点</w:t>
      </w:r>
    </w:p>
    <w:p w14:paraId="74DC6E31">
      <w:pPr>
        <w:spacing w:line="6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（1）重点发展</w:t>
      </w:r>
    </w:p>
    <w:p w14:paraId="047675E5">
      <w:pPr>
        <w:spacing w:line="600" w:lineRule="exact"/>
        <w:ind w:firstLine="643" w:firstLineChars="200"/>
        <w:rPr>
          <w:rFonts w:ascii="Times New Roman" w:hAnsi="Times New Roman" w:eastAsia="仿宋_GB2312"/>
          <w:sz w:val="32"/>
          <w:szCs w:val="32"/>
        </w:rPr>
      </w:pPr>
      <w:r>
        <w:rPr>
          <w:rFonts w:hint="eastAsia" w:ascii="Times New Roman" w:hAnsi="Times New Roman" w:eastAsia="仿宋_GB2312"/>
          <w:b/>
          <w:bCs/>
          <w:sz w:val="32"/>
          <w:szCs w:val="32"/>
        </w:rPr>
        <w:t>高性能功能膜材料。</w:t>
      </w:r>
      <w:r>
        <w:rPr>
          <w:rFonts w:hint="eastAsia" w:ascii="Times New Roman" w:hAnsi="Times New Roman" w:eastAsia="仿宋_GB2312"/>
          <w:sz w:val="32"/>
          <w:szCs w:val="32"/>
        </w:rPr>
        <w:t>依托天鸿新材料</w:t>
      </w:r>
      <w:r>
        <w:rPr>
          <w:rFonts w:hint="eastAsia" w:ascii="Times New Roman" w:hAnsi="Times New Roman" w:eastAsia="仿宋_GB2312"/>
          <w:sz w:val="32"/>
          <w:szCs w:val="32"/>
          <w:lang w:eastAsia="zh-CN"/>
        </w:rPr>
        <w:t>、</w:t>
      </w:r>
      <w:r>
        <w:rPr>
          <w:rFonts w:ascii="Times New Roman" w:hAnsi="Times New Roman" w:eastAsia="仿宋_GB2312"/>
          <w:sz w:val="32"/>
          <w:szCs w:val="32"/>
        </w:rPr>
        <w:t>瑞鸿新材料</w:t>
      </w:r>
      <w:r>
        <w:rPr>
          <w:rFonts w:hint="eastAsia" w:ascii="Times New Roman" w:hAnsi="Times New Roman" w:eastAsia="仿宋_GB2312"/>
          <w:sz w:val="32"/>
          <w:szCs w:val="32"/>
        </w:rPr>
        <w:t>、嘉阳新材料、中科莘阳等企业，重点发展不同规格的锂离子电池隔膜、民用和医用熔喷布、BOPP烟膜、PVC</w:t>
      </w:r>
      <w:r>
        <w:rPr>
          <w:rFonts w:hint="eastAsia" w:ascii="Times New Roman" w:hAnsi="Times New Roman" w:eastAsia="仿宋_GB2312" w:cstheme="minorBidi"/>
          <w:i w:val="0"/>
          <w:iCs w:val="0"/>
          <w:kern w:val="2"/>
          <w:sz w:val="32"/>
          <w:szCs w:val="32"/>
          <w:u w:val="none"/>
          <w:lang w:val="en-US" w:eastAsia="zh-CN" w:bidi="ar"/>
        </w:rPr>
        <w:t>包装膜</w:t>
      </w:r>
      <w:r>
        <w:rPr>
          <w:rFonts w:hint="eastAsia" w:ascii="Times New Roman" w:hAnsi="Times New Roman" w:eastAsia="仿宋_GB2312"/>
          <w:sz w:val="32"/>
          <w:szCs w:val="32"/>
        </w:rPr>
        <w:t>、药品食品包装膜、</w:t>
      </w:r>
      <w:r>
        <w:rPr>
          <w:rFonts w:hint="eastAsia" w:ascii="Times New Roman" w:hAnsi="Times New Roman" w:eastAsia="仿宋_GB2312" w:cstheme="minorBidi"/>
          <w:i w:val="0"/>
          <w:iCs w:val="0"/>
          <w:kern w:val="2"/>
          <w:sz w:val="32"/>
          <w:szCs w:val="32"/>
          <w:u w:val="none"/>
          <w:lang w:val="en-US" w:eastAsia="zh-CN" w:bidi="ar"/>
        </w:rPr>
        <w:t>R-PVC</w:t>
      </w:r>
      <w:r>
        <w:rPr>
          <w:rFonts w:hint="eastAsia" w:ascii="Times New Roman" w:hAnsi="Times New Roman" w:eastAsia="仿宋_GB2312"/>
          <w:sz w:val="32"/>
          <w:szCs w:val="32"/>
        </w:rPr>
        <w:t>扭结膜，大力发展</w:t>
      </w:r>
      <w:r>
        <w:rPr>
          <w:rFonts w:ascii="Times New Roman" w:hAnsi="Times New Roman" w:eastAsia="仿宋_GB2312"/>
          <w:sz w:val="32"/>
          <w:szCs w:val="32"/>
        </w:rPr>
        <w:t>功能性薄膜、可降解复合阻隔膜、环保材料薄膜</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生物基新型膜材料和高阻隔薄膜、离子膜、食品包装膜、装饰膜、地板膜等产品。依托安徽鼎正包装材料等企业，重点发展绣花膜、水转印膜、农药粉剂包装膜、液体洗涤剂包装膜、洗衣粉包装膜等水溶性薄膜和可降解薄膜产品，继续开发以PVA水溶膜为基础的相关产品。</w:t>
      </w:r>
    </w:p>
    <w:p w14:paraId="39BDB193">
      <w:pPr>
        <w:spacing w:line="600" w:lineRule="exact"/>
        <w:ind w:firstLine="643" w:firstLineChars="200"/>
        <w:rPr>
          <w:rFonts w:hint="eastAsia" w:ascii="Times New Roman" w:hAnsi="Times New Roman" w:eastAsia="仿宋_GB2312"/>
          <w:sz w:val="32"/>
          <w:szCs w:val="32"/>
        </w:rPr>
      </w:pPr>
      <w:r>
        <w:rPr>
          <w:rFonts w:hint="eastAsia" w:ascii="Times New Roman" w:hAnsi="Times New Roman" w:eastAsia="仿宋_GB2312"/>
          <w:b/>
          <w:bCs/>
          <w:sz w:val="32"/>
          <w:szCs w:val="32"/>
        </w:rPr>
        <w:t>铝基新材料。</w:t>
      </w:r>
      <w:r>
        <w:rPr>
          <w:rFonts w:hint="eastAsia" w:ascii="Times New Roman" w:hAnsi="Times New Roman" w:eastAsia="仿宋_GB2312"/>
          <w:sz w:val="32"/>
          <w:szCs w:val="32"/>
        </w:rPr>
        <w:t>依托界首再生铝产业基础，延伸发展铝基新材料产业。</w:t>
      </w:r>
      <w:r>
        <w:rPr>
          <w:rFonts w:hint="eastAsia" w:ascii="Times New Roman" w:hAnsi="Times New Roman" w:eastAsia="仿宋_GB2312"/>
          <w:sz w:val="32"/>
          <w:szCs w:val="32"/>
          <w:lang w:eastAsia="zh-CN"/>
        </w:rPr>
        <w:t>依托</w:t>
      </w:r>
      <w:r>
        <w:rPr>
          <w:rFonts w:hint="eastAsia" w:ascii="Times New Roman" w:hAnsi="Times New Roman" w:eastAsia="仿宋_GB2312"/>
          <w:sz w:val="32"/>
          <w:szCs w:val="32"/>
        </w:rPr>
        <w:t>一鸣新材料</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金兰金盈、慧枫金属</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lang w:val="en-US" w:eastAsia="zh-CN"/>
        </w:rPr>
        <w:t>坤源铝业</w:t>
      </w:r>
      <w:r>
        <w:rPr>
          <w:rFonts w:hint="eastAsia" w:ascii="Times New Roman" w:hAnsi="Times New Roman" w:eastAsia="仿宋_GB2312"/>
          <w:sz w:val="32"/>
          <w:szCs w:val="32"/>
        </w:rPr>
        <w:t>等重点企业，加快新技术、新产品、新工艺、新材料开发，重点发展高性能泡沫铝功能材料，加快培育高端泡沫铝民用家居复合板、军工用特种泡沫铝合金等产品，拓展</w:t>
      </w:r>
      <w:r>
        <w:rPr>
          <w:rFonts w:hint="eastAsia" w:ascii="Times New Roman" w:hAnsi="Times New Roman" w:eastAsia="仿宋_GB2312"/>
          <w:sz w:val="32"/>
          <w:szCs w:val="32"/>
          <w:lang w:val="en-US" w:eastAsia="zh-CN"/>
        </w:rPr>
        <w:t>泡沫铝</w:t>
      </w:r>
      <w:r>
        <w:rPr>
          <w:rFonts w:hint="eastAsia" w:ascii="Times New Roman" w:hAnsi="Times New Roman" w:eastAsia="仿宋_GB2312"/>
          <w:sz w:val="32"/>
          <w:szCs w:val="32"/>
        </w:rPr>
        <w:t>在</w:t>
      </w:r>
      <w:r>
        <w:rPr>
          <w:rFonts w:hint="eastAsia" w:ascii="Times New Roman" w:hAnsi="Times New Roman" w:eastAsia="仿宋_GB2312"/>
          <w:sz w:val="32"/>
          <w:szCs w:val="32"/>
          <w:lang w:eastAsia="zh-CN"/>
        </w:rPr>
        <w:t>汽车、轨道交通、</w:t>
      </w:r>
      <w:r>
        <w:rPr>
          <w:rFonts w:hint="eastAsia" w:ascii="Times New Roman" w:hAnsi="Times New Roman" w:eastAsia="仿宋_GB2312"/>
          <w:sz w:val="32"/>
          <w:szCs w:val="32"/>
        </w:rPr>
        <w:t>纺织服装、航空航天等领域应用</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大力开发铝板带等汽车轻量化材料</w:t>
      </w:r>
      <w:r>
        <w:rPr>
          <w:rFonts w:hint="eastAsia" w:ascii="Times New Roman" w:hAnsi="Times New Roman" w:eastAsia="仿宋_GB2312"/>
          <w:b w:val="0"/>
          <w:bCs w:val="0"/>
          <w:sz w:val="32"/>
          <w:szCs w:val="32"/>
        </w:rPr>
        <w:t>，推动铝板带在汽车领域应用</w:t>
      </w:r>
      <w:r>
        <w:rPr>
          <w:rFonts w:hint="eastAsia" w:ascii="Times New Roman" w:hAnsi="Times New Roman" w:eastAsia="仿宋_GB2312"/>
          <w:b w:val="0"/>
          <w:bCs w:val="0"/>
          <w:sz w:val="32"/>
          <w:szCs w:val="32"/>
          <w:lang w:eastAsia="zh-CN"/>
        </w:rPr>
        <w:t>；</w:t>
      </w:r>
      <w:r>
        <w:rPr>
          <w:rFonts w:hint="eastAsia" w:ascii="Times New Roman" w:hAnsi="Times New Roman" w:eastAsia="仿宋_GB2312"/>
          <w:sz w:val="32"/>
          <w:szCs w:val="32"/>
        </w:rPr>
        <w:t>积极推进铝型材在智能家具领域应用。</w:t>
      </w:r>
    </w:p>
    <w:p w14:paraId="2ED8D8B4">
      <w:pPr>
        <w:widowControl/>
        <w:numPr>
          <w:ilvl w:val="0"/>
          <w:numId w:val="0"/>
        </w:numPr>
        <w:adjustRightInd w:val="0"/>
        <w:snapToGrid w:val="0"/>
        <w:spacing w:line="600" w:lineRule="exact"/>
        <w:ind w:firstLine="643" w:firstLineChars="200"/>
        <w:rPr>
          <w:rFonts w:ascii="Times New Roman" w:hAnsi="Times New Roman" w:eastAsia="仿宋_GB2312"/>
          <w:sz w:val="32"/>
          <w:szCs w:val="32"/>
        </w:rPr>
      </w:pPr>
      <w:r>
        <w:rPr>
          <w:rFonts w:hint="eastAsia" w:ascii="Times New Roman" w:hAnsi="Times New Roman" w:eastAsia="仿宋_GB2312"/>
          <w:b/>
          <w:bCs/>
          <w:sz w:val="32"/>
          <w:szCs w:val="32"/>
        </w:rPr>
        <w:t>煤基新材料。</w:t>
      </w:r>
      <w:r>
        <w:rPr>
          <w:rFonts w:hint="eastAsia" w:ascii="Times New Roman" w:hAnsi="Times New Roman" w:eastAsia="仿宋_GB2312"/>
          <w:b w:val="0"/>
          <w:bCs w:val="0"/>
          <w:sz w:val="32"/>
          <w:szCs w:val="32"/>
          <w:lang w:val="en-US" w:eastAsia="zh-CN"/>
        </w:rPr>
        <w:t>充分发挥阜阳丰富的煤炭资源优势，依托昊源化工、杭摩科技、晋煤中能等龙头企业，着力打造阜阳</w:t>
      </w:r>
      <w:r>
        <w:rPr>
          <w:rFonts w:hint="eastAsia" w:ascii="Times New Roman" w:hAnsi="Times New Roman" w:eastAsia="仿宋_GB2312"/>
          <w:b w:val="0"/>
          <w:bCs w:val="0"/>
          <w:sz w:val="32"/>
          <w:szCs w:val="32"/>
          <w:lang w:val="en-US" w:eastAsia="zh-Hans"/>
        </w:rPr>
        <w:t>颍东化工</w:t>
      </w:r>
      <w:r>
        <w:rPr>
          <w:rFonts w:hint="eastAsia" w:ascii="Times New Roman" w:hAnsi="Times New Roman" w:eastAsia="仿宋_GB2312"/>
          <w:b w:val="0"/>
          <w:bCs w:val="0"/>
          <w:sz w:val="32"/>
          <w:szCs w:val="32"/>
          <w:lang w:val="en-US" w:eastAsia="zh-CN"/>
        </w:rPr>
        <w:t>园区，</w:t>
      </w:r>
      <w:r>
        <w:rPr>
          <w:rFonts w:hint="eastAsia" w:ascii="Times New Roman" w:hAnsi="Times New Roman" w:eastAsia="仿宋_GB2312"/>
          <w:sz w:val="32"/>
          <w:szCs w:val="32"/>
        </w:rPr>
        <w:t>重点发展吗啉、二甘醇等产品</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支持中能化工构筑煤基烯烃新材料产业链和煤基芳烃新材料产业链</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积极发展合成氨、苯乙烯、环氧乙烷等有机原料，延伸发展功能涂料、化工树脂、胶粘剂、ABS、聚碳酸酯、超高分子量聚乙烯等先进化工材料及专用化学品。拓宽煤基新材料</w:t>
      </w:r>
      <w:r>
        <w:rPr>
          <w:rFonts w:hint="eastAsia" w:ascii="Times New Roman" w:hAnsi="Times New Roman" w:eastAsia="仿宋_GB2312"/>
          <w:sz w:val="32"/>
          <w:szCs w:val="32"/>
          <w:lang w:eastAsia="zh-CN"/>
        </w:rPr>
        <w:t>在</w:t>
      </w:r>
      <w:r>
        <w:rPr>
          <w:rFonts w:hint="eastAsia" w:ascii="Times New Roman" w:hAnsi="Times New Roman" w:eastAsia="仿宋_GB2312"/>
          <w:sz w:val="32"/>
          <w:szCs w:val="32"/>
        </w:rPr>
        <w:t>汽车、电子、包装、航天航空、轨道交通、纺织服装及医疗健康等</w:t>
      </w:r>
      <w:r>
        <w:rPr>
          <w:rFonts w:hint="eastAsia" w:ascii="Times New Roman" w:hAnsi="Times New Roman" w:eastAsia="仿宋_GB2312"/>
          <w:sz w:val="32"/>
          <w:szCs w:val="32"/>
          <w:lang w:eastAsia="zh-CN"/>
        </w:rPr>
        <w:t>领域应用</w:t>
      </w:r>
      <w:r>
        <w:rPr>
          <w:rFonts w:hint="eastAsia" w:ascii="Times New Roman" w:hAnsi="Times New Roman" w:eastAsia="仿宋_GB2312"/>
          <w:sz w:val="32"/>
          <w:szCs w:val="32"/>
        </w:rPr>
        <w:t>。</w:t>
      </w:r>
    </w:p>
    <w:p w14:paraId="7887663C">
      <w:pPr>
        <w:spacing w:line="600" w:lineRule="exact"/>
        <w:ind w:firstLine="643" w:firstLineChars="200"/>
        <w:rPr>
          <w:rFonts w:hint="eastAsia" w:ascii="Times New Roman" w:hAnsi="Times New Roman" w:eastAsia="仿宋_GB2312"/>
          <w:b w:val="0"/>
          <w:bCs w:val="0"/>
          <w:sz w:val="32"/>
          <w:szCs w:val="32"/>
          <w:lang w:eastAsia="zh-CN"/>
        </w:rPr>
      </w:pPr>
      <w:r>
        <w:rPr>
          <w:rFonts w:hint="eastAsia" w:ascii="Times New Roman" w:hAnsi="Times New Roman" w:eastAsia="仿宋_GB2312"/>
          <w:b/>
          <w:bCs/>
          <w:sz w:val="32"/>
          <w:szCs w:val="32"/>
          <w:lang w:eastAsia="zh-CN"/>
        </w:rPr>
        <w:t>医药新材料。</w:t>
      </w:r>
      <w:r>
        <w:rPr>
          <w:rFonts w:hint="eastAsia" w:ascii="Times New Roman" w:hAnsi="Times New Roman" w:eastAsia="仿宋_GB2312"/>
          <w:b w:val="0"/>
          <w:bCs w:val="0"/>
          <w:sz w:val="32"/>
          <w:szCs w:val="32"/>
          <w:lang w:eastAsia="zh-CN"/>
        </w:rPr>
        <w:t>发展创新型医疗器械。积极培育数字医学影像设备、微创医疗器材、个性化定制器械、可穿戴医疗检测康复产品等中高端医疗器械研发与生产。发展医药中间体。发挥国家食品药品监督管理总局定点帮扶的作用，大力发展与主导原料药相匹配的医药中间体。</w:t>
      </w:r>
    </w:p>
    <w:p w14:paraId="77E6F5B0">
      <w:pPr>
        <w:spacing w:line="6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（2）大力发展</w:t>
      </w:r>
    </w:p>
    <w:p w14:paraId="36904BFB">
      <w:pPr>
        <w:spacing w:line="600" w:lineRule="exact"/>
        <w:ind w:firstLine="643" w:firstLineChars="200"/>
        <w:rPr>
          <w:rFonts w:hint="eastAsia" w:ascii="Times New Roman" w:hAnsi="Times New Roman" w:eastAsia="仿宋_GB2312"/>
          <w:sz w:val="32"/>
          <w:szCs w:val="32"/>
          <w:lang w:eastAsia="zh-CN"/>
        </w:rPr>
      </w:pPr>
      <w:r>
        <w:rPr>
          <w:rFonts w:hint="eastAsia" w:ascii="Times New Roman" w:hAnsi="Times New Roman" w:eastAsia="仿宋_GB2312"/>
          <w:b/>
          <w:bCs/>
          <w:sz w:val="32"/>
          <w:szCs w:val="32"/>
        </w:rPr>
        <w:t>高性能纤维及</w:t>
      </w:r>
      <w:r>
        <w:rPr>
          <w:rFonts w:hint="eastAsia" w:ascii="Times New Roman" w:hAnsi="Times New Roman" w:eastAsia="仿宋_GB2312"/>
          <w:b/>
          <w:bCs/>
          <w:sz w:val="32"/>
          <w:szCs w:val="32"/>
          <w:lang w:val="en-US" w:eastAsia="zh-CN"/>
        </w:rPr>
        <w:t>生物基新</w:t>
      </w:r>
      <w:r>
        <w:rPr>
          <w:rFonts w:hint="eastAsia" w:ascii="Times New Roman" w:hAnsi="Times New Roman" w:eastAsia="仿宋_GB2312"/>
          <w:b/>
          <w:bCs/>
          <w:sz w:val="32"/>
          <w:szCs w:val="32"/>
        </w:rPr>
        <w:t>材料。</w:t>
      </w:r>
      <w:r>
        <w:rPr>
          <w:rFonts w:hint="eastAsia" w:ascii="Times New Roman" w:hAnsi="Times New Roman" w:eastAsia="仿宋_GB2312"/>
          <w:sz w:val="32"/>
          <w:szCs w:val="32"/>
        </w:rPr>
        <w:t>依托界首再生塑料产业基础，延伸发展高性能纤维及复合材料</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依托</w:t>
      </w:r>
      <w:r>
        <w:rPr>
          <w:rFonts w:hint="eastAsia" w:ascii="Times New Roman" w:hAnsi="Times New Roman" w:eastAsia="仿宋_GB2312"/>
          <w:sz w:val="32"/>
          <w:szCs w:val="32"/>
          <w:lang w:val="en-US" w:eastAsia="zh-CN"/>
        </w:rPr>
        <w:t>吉祥三宝高科、瑞鸿新材料、</w:t>
      </w:r>
      <w:r>
        <w:rPr>
          <w:rFonts w:ascii="Times New Roman" w:hAnsi="Times New Roman" w:eastAsia="仿宋_GB2312"/>
          <w:sz w:val="32"/>
          <w:szCs w:val="32"/>
        </w:rPr>
        <w:t>天路新材料</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lang w:val="en-US" w:eastAsia="zh-CN"/>
        </w:rPr>
        <w:t>银河皮革</w:t>
      </w:r>
      <w:r>
        <w:rPr>
          <w:rFonts w:hint="eastAsia" w:ascii="Times New Roman" w:hAnsi="Times New Roman" w:eastAsia="仿宋_GB2312"/>
          <w:sz w:val="32"/>
          <w:szCs w:val="32"/>
        </w:rPr>
        <w:t>等企业，</w:t>
      </w:r>
      <w:r>
        <w:rPr>
          <w:rFonts w:hint="eastAsia" w:ascii="Times New Roman" w:hAnsi="Times New Roman" w:eastAsia="仿宋_GB2312"/>
          <w:sz w:val="32"/>
          <w:szCs w:val="32"/>
          <w:lang w:eastAsia="zh-CN"/>
        </w:rPr>
        <w:t>重点发展绿色循环再利用纤维材料、生物基纤维材料、功能性塑料材料、再生涤纶短纤维材料和高性能皮革纤维复合新材料。拓展</w:t>
      </w:r>
      <w:r>
        <w:rPr>
          <w:rFonts w:hint="eastAsia" w:ascii="Times New Roman" w:hAnsi="Times New Roman" w:eastAsia="仿宋_GB2312"/>
          <w:sz w:val="32"/>
          <w:szCs w:val="32"/>
        </w:rPr>
        <w:t>高性能纤维及复合材料</w:t>
      </w:r>
      <w:r>
        <w:rPr>
          <w:rFonts w:hint="eastAsia" w:ascii="Times New Roman" w:hAnsi="Times New Roman" w:eastAsia="仿宋_GB2312"/>
          <w:sz w:val="32"/>
          <w:szCs w:val="32"/>
          <w:lang w:eastAsia="zh-CN"/>
        </w:rPr>
        <w:t>在</w:t>
      </w:r>
      <w:r>
        <w:rPr>
          <w:rFonts w:hint="eastAsia" w:ascii="Times New Roman" w:hAnsi="Times New Roman" w:eastAsia="仿宋_GB2312"/>
          <w:sz w:val="32"/>
          <w:szCs w:val="32"/>
        </w:rPr>
        <w:t>纺织、医用材料、卫生防护、航天军工等领域</w:t>
      </w:r>
      <w:r>
        <w:rPr>
          <w:rFonts w:hint="eastAsia" w:ascii="Times New Roman" w:hAnsi="Times New Roman" w:eastAsia="仿宋_GB2312"/>
          <w:sz w:val="32"/>
          <w:szCs w:val="32"/>
          <w:lang w:eastAsia="zh-CN"/>
        </w:rPr>
        <w:t>应用</w:t>
      </w:r>
      <w:r>
        <w:rPr>
          <w:rFonts w:hint="eastAsia" w:ascii="Times New Roman" w:hAnsi="Times New Roman" w:eastAsia="仿宋_GB2312"/>
          <w:sz w:val="32"/>
          <w:szCs w:val="32"/>
        </w:rPr>
        <w:t>。</w:t>
      </w:r>
    </w:p>
    <w:p w14:paraId="49825C34">
      <w:pPr>
        <w:spacing w:line="600" w:lineRule="exact"/>
        <w:ind w:firstLine="643" w:firstLineChars="200"/>
        <w:rPr>
          <w:rFonts w:hint="eastAsia" w:ascii="Times New Roman" w:hAnsi="Times New Roman" w:eastAsia="仿宋_GB2312"/>
          <w:b w:val="0"/>
          <w:bCs w:val="0"/>
          <w:sz w:val="32"/>
          <w:szCs w:val="32"/>
          <w:lang w:eastAsia="zh-CN"/>
        </w:rPr>
      </w:pPr>
      <w:r>
        <w:rPr>
          <w:rFonts w:hint="eastAsia" w:ascii="Times New Roman" w:hAnsi="Times New Roman" w:eastAsia="仿宋_GB2312"/>
          <w:b/>
          <w:bCs/>
          <w:color w:val="auto"/>
          <w:sz w:val="32"/>
          <w:szCs w:val="32"/>
        </w:rPr>
        <w:t>清洁能源新材料</w:t>
      </w:r>
      <w:r>
        <w:rPr>
          <w:rFonts w:hint="eastAsia" w:ascii="Times New Roman" w:hAnsi="Times New Roman" w:eastAsia="仿宋_GB2312"/>
          <w:b/>
          <w:bCs/>
          <w:sz w:val="32"/>
          <w:szCs w:val="32"/>
          <w:lang w:eastAsia="zh-CN"/>
        </w:rPr>
        <w:t>。</w:t>
      </w:r>
      <w:r>
        <w:rPr>
          <w:rFonts w:hint="eastAsia" w:ascii="Times New Roman" w:hAnsi="Times New Roman" w:eastAsia="仿宋_GB2312"/>
          <w:b w:val="0"/>
          <w:bCs w:val="0"/>
          <w:sz w:val="32"/>
          <w:szCs w:val="32"/>
          <w:lang w:eastAsia="zh-CN"/>
        </w:rPr>
        <w:t>依托南都华铂新材料、南都华拓新能源等企业，</w:t>
      </w:r>
      <w:r>
        <w:rPr>
          <w:rFonts w:hint="eastAsia" w:ascii="Times New Roman" w:hAnsi="Times New Roman" w:eastAsia="仿宋_GB2312"/>
          <w:sz w:val="32"/>
          <w:szCs w:val="32"/>
        </w:rPr>
        <w:t>吸引上下游锂离子动力电池制造及应用配套企业</w:t>
      </w:r>
      <w:r>
        <w:rPr>
          <w:rFonts w:hint="eastAsia" w:ascii="Times New Roman" w:hAnsi="Times New Roman" w:eastAsia="仿宋_GB2312"/>
          <w:b w:val="0"/>
          <w:bCs w:val="0"/>
          <w:sz w:val="32"/>
          <w:szCs w:val="32"/>
          <w:lang w:eastAsia="zh-CN"/>
        </w:rPr>
        <w:t>，</w:t>
      </w:r>
      <w:r>
        <w:rPr>
          <w:rFonts w:hint="eastAsia" w:ascii="Times New Roman" w:hAnsi="Times New Roman" w:eastAsia="仿宋_GB2312"/>
          <w:sz w:val="32"/>
          <w:szCs w:val="32"/>
        </w:rPr>
        <w:t>探索建</w:t>
      </w:r>
      <w:r>
        <w:rPr>
          <w:rFonts w:hint="eastAsia" w:ascii="Times New Roman" w:hAnsi="Times New Roman" w:eastAsia="仿宋_GB2312"/>
          <w:sz w:val="32"/>
          <w:szCs w:val="32"/>
          <w:lang w:eastAsia="zh-CN"/>
        </w:rPr>
        <w:t>立</w:t>
      </w:r>
      <w:r>
        <w:rPr>
          <w:rFonts w:hint="eastAsia" w:ascii="Times New Roman" w:hAnsi="Times New Roman" w:eastAsia="仿宋_GB2312"/>
          <w:sz w:val="32"/>
          <w:szCs w:val="32"/>
        </w:rPr>
        <w:t>废旧动力电池回收体系</w:t>
      </w:r>
      <w:r>
        <w:rPr>
          <w:rFonts w:hint="eastAsia" w:ascii="Times New Roman" w:hAnsi="Times New Roman" w:eastAsia="仿宋_GB2312"/>
          <w:sz w:val="32"/>
          <w:szCs w:val="32"/>
          <w:lang w:eastAsia="zh-CN"/>
        </w:rPr>
        <w:t>及</w:t>
      </w:r>
      <w:r>
        <w:rPr>
          <w:rFonts w:hint="eastAsia" w:ascii="Times New Roman" w:hAnsi="Times New Roman" w:eastAsia="仿宋_GB2312"/>
          <w:sz w:val="32"/>
          <w:szCs w:val="32"/>
        </w:rPr>
        <w:t>镍钴锰三元材料生产体系</w:t>
      </w:r>
      <w:r>
        <w:rPr>
          <w:rFonts w:hint="eastAsia" w:ascii="Times New Roman" w:hAnsi="Times New Roman" w:eastAsia="仿宋_GB2312"/>
          <w:sz w:val="32"/>
          <w:szCs w:val="32"/>
          <w:lang w:eastAsia="zh-CN"/>
        </w:rPr>
        <w:t>。</w:t>
      </w:r>
      <w:r>
        <w:rPr>
          <w:rFonts w:hint="eastAsia" w:ascii="Times New Roman" w:hAnsi="Times New Roman" w:eastAsia="仿宋_GB2312"/>
          <w:b w:val="0"/>
          <w:bCs w:val="0"/>
          <w:sz w:val="32"/>
          <w:szCs w:val="32"/>
          <w:lang w:eastAsia="zh-CN"/>
        </w:rPr>
        <w:t>依托</w:t>
      </w:r>
      <w:r>
        <w:rPr>
          <w:rFonts w:hint="eastAsia" w:ascii="Times New Roman" w:hAnsi="Times New Roman" w:eastAsia="仿宋_GB2312"/>
          <w:sz w:val="32"/>
          <w:szCs w:val="32"/>
        </w:rPr>
        <w:t>燕龙基</w:t>
      </w:r>
      <w:r>
        <w:rPr>
          <w:rFonts w:hint="eastAsia" w:ascii="Times New Roman" w:hAnsi="Times New Roman" w:eastAsia="仿宋_GB2312"/>
          <w:sz w:val="32"/>
          <w:szCs w:val="32"/>
          <w:lang w:eastAsia="zh-CN"/>
        </w:rPr>
        <w:t>、</w:t>
      </w:r>
      <w:r>
        <w:rPr>
          <w:rFonts w:hint="eastAsia" w:ascii="仿宋_GB2312" w:hAnsi="Times New Roman" w:eastAsia="仿宋_GB2312"/>
          <w:color w:val="000000"/>
          <w:sz w:val="32"/>
          <w:szCs w:val="32"/>
          <w:lang w:val="en-US" w:eastAsia="zh-CN"/>
        </w:rPr>
        <w:t>赛拉弗、阜兴公司</w:t>
      </w:r>
      <w:r>
        <w:rPr>
          <w:rFonts w:hint="eastAsia" w:ascii="Times New Roman" w:hAnsi="Times New Roman" w:eastAsia="仿宋_GB2312"/>
          <w:sz w:val="32"/>
          <w:szCs w:val="32"/>
        </w:rPr>
        <w:t>等企业，重点引进太阳能电池片、光伏玻璃、光伏组件、边框背板等企业</w:t>
      </w:r>
      <w:r>
        <w:rPr>
          <w:rFonts w:hint="eastAsia" w:ascii="Times New Roman" w:hAnsi="Times New Roman" w:eastAsia="仿宋_GB2312"/>
          <w:sz w:val="32"/>
          <w:szCs w:val="32"/>
          <w:lang w:eastAsia="zh-CN"/>
        </w:rPr>
        <w:t>，延伸产业链条</w:t>
      </w:r>
      <w:r>
        <w:rPr>
          <w:rFonts w:hint="eastAsia" w:ascii="Times New Roman" w:hAnsi="Times New Roman" w:eastAsia="仿宋_GB2312"/>
          <w:sz w:val="32"/>
          <w:szCs w:val="32"/>
        </w:rPr>
        <w:t>。</w:t>
      </w:r>
    </w:p>
    <w:p w14:paraId="68ADA8A9">
      <w:pPr>
        <w:spacing w:line="600" w:lineRule="exact"/>
        <w:ind w:firstLine="643" w:firstLineChars="200"/>
        <w:rPr>
          <w:rFonts w:ascii="Times New Roman" w:hAnsi="Times New Roman" w:eastAsia="仿宋_GB2312"/>
          <w:sz w:val="32"/>
          <w:szCs w:val="32"/>
        </w:rPr>
      </w:pPr>
      <w:r>
        <w:rPr>
          <w:rFonts w:hint="eastAsia" w:ascii="Times New Roman" w:hAnsi="Times New Roman" w:eastAsia="仿宋_GB2312"/>
          <w:b/>
          <w:bCs/>
          <w:sz w:val="32"/>
          <w:szCs w:val="32"/>
          <w:lang w:eastAsia="zh-CN"/>
        </w:rPr>
        <w:t>高性能</w:t>
      </w:r>
      <w:r>
        <w:rPr>
          <w:rFonts w:hint="eastAsia" w:ascii="Times New Roman" w:hAnsi="Times New Roman" w:eastAsia="仿宋_GB2312"/>
          <w:b/>
          <w:bCs/>
          <w:sz w:val="32"/>
          <w:szCs w:val="32"/>
        </w:rPr>
        <w:t>磁性</w:t>
      </w:r>
      <w:r>
        <w:rPr>
          <w:rFonts w:hint="eastAsia" w:ascii="Times New Roman" w:hAnsi="Times New Roman" w:eastAsia="仿宋_GB2312"/>
          <w:b/>
          <w:bCs/>
          <w:sz w:val="32"/>
          <w:szCs w:val="32"/>
          <w:lang w:eastAsia="zh-CN"/>
        </w:rPr>
        <w:t>功能</w:t>
      </w:r>
      <w:r>
        <w:rPr>
          <w:rFonts w:hint="eastAsia" w:ascii="Times New Roman" w:hAnsi="Times New Roman" w:eastAsia="仿宋_GB2312"/>
          <w:b/>
          <w:bCs/>
          <w:sz w:val="32"/>
          <w:szCs w:val="32"/>
        </w:rPr>
        <w:t>新材料。</w:t>
      </w:r>
      <w:r>
        <w:rPr>
          <w:rFonts w:hint="eastAsia" w:ascii="Times New Roman" w:hAnsi="Times New Roman" w:eastAsia="仿宋_GB2312"/>
          <w:sz w:val="32"/>
          <w:szCs w:val="32"/>
        </w:rPr>
        <w:t>依托北矿磁材、智磁新材料等龙头企业，大力发展高性能纳米晶、非晶带材、母合金、高性能大尺寸非晶软磁合金薄带材料、超薄超宽纳米晶软磁合金薄带材料、低磁损高频高性能金属软磁粉芯等软磁材料</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同步发展烧结永磁铁氧体、粘结永磁铁氧体、高性能铁氧体磁性材料、稀土永磁体材料</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高性能各向异性粘结钕铁硼永磁材料。</w:t>
      </w:r>
    </w:p>
    <w:p w14:paraId="7F9E5533">
      <w:pPr>
        <w:spacing w:line="6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（3）培育发展</w:t>
      </w:r>
    </w:p>
    <w:p w14:paraId="7BCB0FE1">
      <w:pPr>
        <w:spacing w:line="600" w:lineRule="exact"/>
        <w:ind w:firstLine="643" w:firstLineChars="200"/>
        <w:rPr>
          <w:rFonts w:ascii="Times New Roman" w:hAnsi="Times New Roman" w:eastAsia="仿宋_GB2312"/>
          <w:sz w:val="32"/>
          <w:szCs w:val="32"/>
        </w:rPr>
      </w:pPr>
      <w:r>
        <w:rPr>
          <w:rFonts w:hint="eastAsia" w:ascii="Times New Roman" w:hAnsi="Times New Roman" w:eastAsia="仿宋_GB2312"/>
          <w:b/>
          <w:bCs/>
          <w:sz w:val="32"/>
          <w:szCs w:val="32"/>
          <w:lang w:eastAsia="zh-CN"/>
        </w:rPr>
        <w:t>电子信息</w:t>
      </w:r>
      <w:r>
        <w:rPr>
          <w:rFonts w:hint="eastAsia" w:ascii="Times New Roman" w:hAnsi="Times New Roman" w:eastAsia="仿宋_GB2312"/>
          <w:b/>
          <w:bCs/>
          <w:sz w:val="32"/>
          <w:szCs w:val="32"/>
        </w:rPr>
        <w:t>新材料。</w:t>
      </w:r>
      <w:r>
        <w:rPr>
          <w:rFonts w:hint="eastAsia" w:ascii="Times New Roman" w:hAnsi="Times New Roman" w:eastAsia="仿宋_GB2312"/>
          <w:sz w:val="32"/>
          <w:szCs w:val="32"/>
        </w:rPr>
        <w:t>依托欣奕华、</w:t>
      </w:r>
      <w:r>
        <w:rPr>
          <w:rFonts w:hint="eastAsia" w:ascii="仿宋_GB2312" w:hAnsi="仿宋_GB2312" w:eastAsia="仿宋_GB2312" w:cs="仿宋_GB2312"/>
          <w:sz w:val="32"/>
          <w:szCs w:val="32"/>
        </w:rPr>
        <w:t>地势坤、浚颍光电、彩虹集团、觅拓</w:t>
      </w:r>
      <w:r>
        <w:rPr>
          <w:rFonts w:hint="eastAsia" w:ascii="Times New Roman" w:hAnsi="Times New Roman" w:eastAsia="仿宋_GB2312"/>
          <w:sz w:val="32"/>
          <w:szCs w:val="32"/>
        </w:rPr>
        <w:t>等龙头企业，重点发展彩色光刻胶、液晶、OLED材料、太阳能照明设备与光伏产品</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前瞻布局印刷OLED材料、石墨烯等新材料。以光刻胶为核心产品，推动企业扩大产能，提高产品合格率和分辨率，加快研发彩膜光刻胶上游核心材料颜料液和树脂，实现国产化供应；推动纳米分散技术研究，积极谋划与合肥新型显示产业配套发展</w:t>
      </w:r>
      <w:r>
        <w:rPr>
          <w:rFonts w:hint="eastAsia" w:ascii="Times New Roman" w:hAnsi="Times New Roman" w:eastAsia="仿宋_GB2312"/>
          <w:sz w:val="32"/>
          <w:szCs w:val="32"/>
          <w:lang w:val="en-US" w:eastAsia="zh-CN"/>
        </w:rPr>
        <w:t>的新产品</w:t>
      </w:r>
      <w:r>
        <w:rPr>
          <w:rFonts w:hint="eastAsia" w:ascii="Times New Roman" w:hAnsi="Times New Roman" w:eastAsia="仿宋_GB2312"/>
          <w:sz w:val="32"/>
          <w:szCs w:val="32"/>
        </w:rPr>
        <w:t>。</w:t>
      </w:r>
    </w:p>
    <w:p w14:paraId="783E4484">
      <w:pPr>
        <w:spacing w:line="600" w:lineRule="exact"/>
        <w:ind w:firstLine="643" w:firstLineChars="200"/>
        <w:outlineLvl w:val="1"/>
        <w:rPr>
          <w:rFonts w:ascii="楷体_GB2312" w:hAnsi="楷体_GB2312" w:eastAsia="楷体_GB2312" w:cs="楷体_GB2312"/>
          <w:b/>
          <w:bCs/>
          <w:sz w:val="32"/>
          <w:szCs w:val="32"/>
        </w:rPr>
      </w:pPr>
      <w:bookmarkStart w:id="206" w:name="_Toc20094"/>
      <w:bookmarkStart w:id="207" w:name="_Toc10200"/>
      <w:bookmarkStart w:id="208" w:name="_Toc13052"/>
      <w:bookmarkStart w:id="209" w:name="_Toc21802"/>
      <w:bookmarkStart w:id="210" w:name="_Toc28636"/>
      <w:bookmarkStart w:id="211" w:name="_Toc16180"/>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三</w:t>
      </w:r>
      <w:r>
        <w:rPr>
          <w:rFonts w:hint="eastAsia" w:ascii="楷体_GB2312" w:hAnsi="楷体_GB2312" w:eastAsia="楷体_GB2312" w:cs="楷体_GB2312"/>
          <w:b/>
          <w:bCs/>
          <w:sz w:val="32"/>
          <w:szCs w:val="32"/>
        </w:rPr>
        <w:t>）绿色食品产业</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14:paraId="492F9DF1">
      <w:pPr>
        <w:spacing w:line="600" w:lineRule="exact"/>
        <w:ind w:firstLine="643" w:firstLineChars="200"/>
        <w:outlineLvl w:val="2"/>
        <w:rPr>
          <w:rFonts w:ascii="仿宋_GB2312" w:hAnsi="仿宋_GB2312" w:eastAsia="仿宋_GB2312" w:cs="仿宋_GB2312"/>
          <w:b/>
          <w:sz w:val="32"/>
          <w:szCs w:val="32"/>
        </w:rPr>
      </w:pPr>
      <w:bookmarkStart w:id="212" w:name="_Toc25907"/>
      <w:r>
        <w:rPr>
          <w:rFonts w:hint="eastAsia" w:ascii="仿宋_GB2312" w:hAnsi="仿宋_GB2312" w:eastAsia="仿宋_GB2312" w:cs="仿宋_GB2312"/>
          <w:b/>
          <w:sz w:val="32"/>
          <w:szCs w:val="32"/>
        </w:rPr>
        <w:t>1.发展目标</w:t>
      </w:r>
      <w:bookmarkEnd w:id="212"/>
    </w:p>
    <w:p w14:paraId="4F2A5CD7">
      <w:pPr>
        <w:pStyle w:val="23"/>
        <w:spacing w:after="0" w:line="600" w:lineRule="exact"/>
        <w:ind w:left="0" w:leftChars="0" w:firstLine="64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实施长三角绿色农产品生产加工供应基地建设“116”行动计划，力争到2025年，建设一批优势特色产业集群，面向沪苏浙地区的农副产品和农产品加工品年销售额达到600亿元。</w:t>
      </w:r>
      <w:r>
        <w:rPr>
          <w:rFonts w:ascii="仿宋_GB2312" w:hAnsi="仿宋_GB2312" w:eastAsia="仿宋_GB2312" w:cs="仿宋_GB2312"/>
          <w:bCs/>
          <w:sz w:val="32"/>
          <w:szCs w:val="32"/>
        </w:rPr>
        <w:t>基本建成食品种类全、品牌影响力大、科研投入足、市场竞争力强、保障体系健全的产业格局，全市10亿元以上绿色食品企业达到</w:t>
      </w:r>
      <w:r>
        <w:rPr>
          <w:rFonts w:hint="eastAsia" w:ascii="仿宋_GB2312" w:hAnsi="仿宋_GB2312" w:eastAsia="仿宋_GB2312" w:cs="仿宋_GB2312"/>
          <w:bCs/>
          <w:sz w:val="32"/>
          <w:szCs w:val="32"/>
        </w:rPr>
        <w:t>10</w:t>
      </w:r>
      <w:r>
        <w:rPr>
          <w:rFonts w:ascii="仿宋_GB2312" w:hAnsi="仿宋_GB2312" w:eastAsia="仿宋_GB2312" w:cs="仿宋_GB2312"/>
          <w:bCs/>
          <w:sz w:val="32"/>
          <w:szCs w:val="32"/>
        </w:rPr>
        <w:t>家，实现产业总产值</w:t>
      </w:r>
      <w:r>
        <w:rPr>
          <w:rFonts w:hint="eastAsia" w:ascii="仿宋_GB2312" w:hAnsi="仿宋_GB2312" w:eastAsia="仿宋_GB2312" w:cs="仿宋_GB2312"/>
          <w:bCs/>
          <w:sz w:val="32"/>
          <w:szCs w:val="32"/>
        </w:rPr>
        <w:t>超千</w:t>
      </w:r>
      <w:r>
        <w:rPr>
          <w:rFonts w:ascii="仿宋_GB2312" w:hAnsi="仿宋_GB2312" w:eastAsia="仿宋_GB2312" w:cs="仿宋_GB2312"/>
          <w:bCs/>
          <w:sz w:val="32"/>
          <w:szCs w:val="32"/>
        </w:rPr>
        <w:t>亿元。</w:t>
      </w:r>
    </w:p>
    <w:p w14:paraId="7CECA9F5">
      <w:pPr>
        <w:spacing w:line="600" w:lineRule="exact"/>
        <w:ind w:firstLine="643" w:firstLineChars="200"/>
        <w:outlineLvl w:val="2"/>
        <w:rPr>
          <w:rFonts w:ascii="仿宋_GB2312" w:hAnsi="仿宋_GB2312" w:eastAsia="仿宋_GB2312" w:cs="仿宋_GB2312"/>
          <w:b/>
          <w:sz w:val="32"/>
          <w:szCs w:val="32"/>
        </w:rPr>
      </w:pPr>
      <w:bookmarkStart w:id="213" w:name="_Toc2887"/>
      <w:r>
        <w:rPr>
          <w:rFonts w:hint="eastAsia" w:ascii="仿宋_GB2312" w:hAnsi="仿宋_GB2312" w:eastAsia="仿宋_GB2312" w:cs="仿宋_GB2312"/>
          <w:b/>
          <w:sz w:val="32"/>
          <w:szCs w:val="32"/>
        </w:rPr>
        <w:t>2.发展现状</w:t>
      </w:r>
      <w:bookmarkEnd w:id="213"/>
    </w:p>
    <w:p w14:paraId="66C4F5D7">
      <w:pPr>
        <w:spacing w:line="600" w:lineRule="exact"/>
        <w:ind w:firstLine="640" w:firstLineChars="200"/>
        <w:rPr>
          <w:rStyle w:val="34"/>
          <w:rFonts w:hint="default" w:hAnsi="Times New Roman" w:cs="Times New Roman"/>
        </w:rPr>
      </w:pPr>
      <w:r>
        <w:rPr>
          <w:rStyle w:val="34"/>
          <w:rFonts w:hint="default" w:hAnsi="Times New Roman" w:cs="Times New Roman"/>
        </w:rPr>
        <w:t>我市绿色食品产业处于高速增长期。产品消费升级趋势明显，产品方便化、多样化是阜阳食品产业发展的重要特征，绿色食品、功能食品成为最具发展潜力的产业。2020年全市绿色食品产业规上企业286家，实现产值415.8亿元，增加值109.6亿元。</w:t>
      </w:r>
    </w:p>
    <w:p w14:paraId="1DC83F6A">
      <w:pPr>
        <w:spacing w:line="600" w:lineRule="exact"/>
        <w:ind w:firstLine="640" w:firstLineChars="200"/>
        <w:rPr>
          <w:rStyle w:val="34"/>
          <w:rFonts w:hint="default" w:hAnsi="仿宋_GB2312" w:cs="仿宋_GB2312"/>
        </w:rPr>
      </w:pPr>
      <w:r>
        <w:rPr>
          <w:rStyle w:val="34"/>
          <w:rFonts w:hint="default" w:hAnsi="仿宋_GB2312" w:cs="仿宋_GB2312"/>
        </w:rPr>
        <w:t>但企业规模总体偏少偏小，品牌价值及影响力偏低偏弱，无法满足产业高质量发展的需求；产业和产品仍处于产业链、价值链中低端，产品研发创新平台较少，附加值高、适销性好的创新产品占比不高；部分食品工厂过度依赖人工，食品加工关键环节装备标准化和自动化程度低，加工技术的智能化、定向化调控欠缺。</w:t>
      </w:r>
    </w:p>
    <w:p w14:paraId="563BD365">
      <w:pPr>
        <w:spacing w:line="600" w:lineRule="exact"/>
        <w:ind w:firstLine="643" w:firstLineChars="200"/>
        <w:outlineLvl w:val="2"/>
        <w:rPr>
          <w:rFonts w:ascii="仿宋_GB2312" w:hAnsi="仿宋_GB2312" w:eastAsia="仿宋_GB2312" w:cs="仿宋_GB2312"/>
          <w:b/>
          <w:sz w:val="32"/>
          <w:szCs w:val="32"/>
        </w:rPr>
      </w:pPr>
      <w:bookmarkStart w:id="214" w:name="_Toc26049"/>
      <w:r>
        <w:rPr>
          <w:rFonts w:hint="eastAsia" w:ascii="仿宋_GB2312" w:hAnsi="仿宋_GB2312" w:eastAsia="仿宋_GB2312" w:cs="仿宋_GB2312"/>
          <w:b/>
          <w:sz w:val="32"/>
          <w:szCs w:val="32"/>
          <w:lang w:val="en-US" w:eastAsia="zh-CN"/>
        </w:rPr>
        <w:t>3</w:t>
      </w:r>
      <w:r>
        <w:rPr>
          <w:rFonts w:hint="eastAsia" w:ascii="仿宋_GB2312" w:hAnsi="仿宋_GB2312" w:eastAsia="仿宋_GB2312" w:cs="仿宋_GB2312"/>
          <w:b/>
          <w:sz w:val="32"/>
          <w:szCs w:val="32"/>
        </w:rPr>
        <w:t>.发展思路</w:t>
      </w:r>
    </w:p>
    <w:p w14:paraId="6978A7A9">
      <w:pPr>
        <w:pStyle w:val="23"/>
        <w:spacing w:after="0" w:line="600" w:lineRule="exact"/>
        <w:ind w:left="0" w:leftChars="0" w:firstLine="643"/>
        <w:rPr>
          <w:rFonts w:ascii="仿宋_GB2312" w:hAnsi="仿宋_GB2312" w:eastAsia="仿宋_GB2312" w:cs="仿宋_GB2312"/>
          <w:sz w:val="32"/>
          <w:szCs w:val="32"/>
        </w:rPr>
      </w:pPr>
      <w:r>
        <w:rPr>
          <w:rFonts w:hint="eastAsia" w:ascii="仿宋_GB2312" w:hAnsi="仿宋_GB2312" w:eastAsia="仿宋_GB2312" w:cs="仿宋_GB2312"/>
          <w:b/>
          <w:bCs/>
          <w:sz w:val="32"/>
          <w:szCs w:val="32"/>
        </w:rPr>
        <w:t>（1）做精做深食品加工。推进绿色食品产业园建设。</w:t>
      </w:r>
      <w:r>
        <w:rPr>
          <w:rFonts w:hint="eastAsia" w:ascii="仿宋_GB2312" w:hAnsi="仿宋_GB2312" w:eastAsia="仿宋_GB2312" w:cs="仿宋_GB2312"/>
          <w:sz w:val="32"/>
          <w:szCs w:val="32"/>
        </w:rPr>
        <w:t>进一步做强临泉食品产业园、颍东区食品工业园、颍州区九龙农产品加工循环产业园、中国(临泉)碧根果产业园等产业集群园区，加快推进界首市、颍上县、阜南县等地绿色食品产业园创建，大力推动营养和健康绿色食品特色工业园、健康绿色食品商贸物流园、粮油核心工业园、果蔬产业园、食品包装及食品机械产业园、乳制品产业园等产业平台建设。</w:t>
      </w:r>
      <w:r>
        <w:rPr>
          <w:rFonts w:hint="eastAsia" w:ascii="仿宋_GB2312" w:hAnsi="仿宋_GB2312" w:eastAsia="仿宋_GB2312" w:cs="仿宋_GB2312"/>
          <w:b/>
          <w:bCs/>
          <w:sz w:val="32"/>
          <w:szCs w:val="32"/>
        </w:rPr>
        <w:t>做大做强产业链。</w:t>
      </w:r>
      <w:r>
        <w:rPr>
          <w:rFonts w:hint="eastAsia" w:ascii="仿宋_GB2312" w:hAnsi="仿宋_GB2312" w:eastAsia="仿宋_GB2312" w:cs="仿宋_GB2312"/>
          <w:sz w:val="32"/>
          <w:szCs w:val="32"/>
        </w:rPr>
        <w:t>充分发挥阜阳农产品资源丰富的优势，以农副食品加工产业延伸为突破口，推动粮油精深加工、乳制品、白酒产业、食盐加工业、蔬菜（含食用菌）加工、肉制品及蛋制品、糕点及糖果、方便食品、酒及饮料等绿色产品产业链做大做强。</w:t>
      </w:r>
    </w:p>
    <w:p w14:paraId="720AE144">
      <w:pPr>
        <w:pStyle w:val="23"/>
        <w:spacing w:after="0" w:line="600" w:lineRule="exact"/>
        <w:ind w:left="0" w:leftChars="0" w:firstLine="643"/>
        <w:rPr>
          <w:rFonts w:ascii="仿宋_GB2312" w:hAnsi="仿宋_GB2312" w:eastAsia="仿宋_GB2312" w:cs="仿宋_GB2312"/>
          <w:sz w:val="32"/>
          <w:szCs w:val="32"/>
        </w:rPr>
      </w:pPr>
      <w:r>
        <w:rPr>
          <w:rFonts w:hint="eastAsia" w:ascii="仿宋_GB2312" w:hAnsi="仿宋_GB2312" w:eastAsia="仿宋_GB2312" w:cs="仿宋_GB2312"/>
          <w:b/>
          <w:bCs/>
          <w:sz w:val="32"/>
          <w:szCs w:val="32"/>
        </w:rPr>
        <w:t>（2）大力推进品牌建设。增强品牌影响力。</w:t>
      </w:r>
      <w:r>
        <w:rPr>
          <w:rFonts w:ascii="仿宋_GB2312" w:hAnsi="仿宋_GB2312" w:eastAsia="仿宋_GB2312" w:cs="仿宋_GB2312"/>
          <w:sz w:val="32"/>
          <w:szCs w:val="32"/>
        </w:rPr>
        <w:t>强化企业品牌发展和竞争意识</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以优势骨干企业为主体，引导企业制定品牌发展规划，加强自主品牌的保护与宣传，加快品牌国际化步伐。</w:t>
      </w:r>
      <w:r>
        <w:rPr>
          <w:rFonts w:hint="eastAsia" w:ascii="仿宋_GB2312" w:hAnsi="仿宋_GB2312" w:eastAsia="仿宋_GB2312" w:cs="仿宋_GB2312"/>
          <w:b/>
          <w:bCs/>
          <w:sz w:val="32"/>
          <w:szCs w:val="32"/>
        </w:rPr>
        <w:t>大力扶持区域绿色食品品牌。</w:t>
      </w:r>
      <w:r>
        <w:rPr>
          <w:rFonts w:hint="eastAsia" w:ascii="仿宋_GB2312" w:hAnsi="仿宋_GB2312" w:eastAsia="仿宋_GB2312" w:cs="仿宋_GB2312"/>
          <w:sz w:val="32"/>
          <w:szCs w:val="32"/>
        </w:rPr>
        <w:t>加强区域公共品牌建设，加大品牌宣传和推介力度，提升绿色食品区域品牌知名度。支持产业集群内企业联合申请注册具有地区标志性的商标，扶持壮大一批地理标志产品生产企业，推动建设一批地理标志产品示范基地，打造临泉脱水蔬菜等区域性特色产业公共品牌。</w:t>
      </w:r>
      <w:r>
        <w:rPr>
          <w:rFonts w:hint="eastAsia" w:ascii="仿宋_GB2312" w:hAnsi="仿宋_GB2312" w:eastAsia="仿宋_GB2312" w:cs="仿宋_GB2312"/>
          <w:b/>
          <w:bCs/>
          <w:sz w:val="32"/>
          <w:szCs w:val="32"/>
        </w:rPr>
        <w:t>建立绿色食品品牌扶持和保护机制。</w:t>
      </w:r>
      <w:r>
        <w:rPr>
          <w:rFonts w:hint="eastAsia" w:ascii="仿宋_GB2312" w:hAnsi="仿宋_GB2312" w:eastAsia="仿宋_GB2312" w:cs="仿宋_GB2312"/>
          <w:sz w:val="32"/>
          <w:szCs w:val="32"/>
        </w:rPr>
        <w:t>研究制定阜阳绿色食品品牌认证、推广、识别、评价、发布等关键环节的规则，不断健全绿色食品品牌生产、营销、监管机制和体系，探索建立绿色食品品牌目录制度，实施动态管理。</w:t>
      </w:r>
    </w:p>
    <w:p w14:paraId="7C085D39">
      <w:pPr>
        <w:pStyle w:val="23"/>
        <w:spacing w:after="0" w:line="600" w:lineRule="exact"/>
        <w:ind w:left="0" w:leftChars="0" w:firstLine="643"/>
        <w:rPr>
          <w:rFonts w:ascii="仿宋_GB2312" w:hAnsi="仿宋_GB2312" w:eastAsia="仿宋_GB2312" w:cs="仿宋_GB2312"/>
          <w:sz w:val="32"/>
          <w:szCs w:val="32"/>
        </w:rPr>
      </w:pPr>
      <w:r>
        <w:rPr>
          <w:rFonts w:hint="eastAsia" w:ascii="仿宋_GB2312" w:hAnsi="仿宋_GB2312" w:eastAsia="仿宋_GB2312" w:cs="仿宋_GB2312"/>
          <w:b/>
          <w:bCs/>
          <w:sz w:val="32"/>
          <w:szCs w:val="32"/>
        </w:rPr>
        <w:t>（3）支持企业转型升级。引进智能化设备。</w:t>
      </w:r>
      <w:r>
        <w:rPr>
          <w:rFonts w:hint="eastAsia" w:ascii="仿宋_GB2312" w:hAnsi="仿宋_GB2312" w:eastAsia="仿宋_GB2312" w:cs="仿宋_GB2312"/>
          <w:sz w:val="32"/>
          <w:szCs w:val="32"/>
        </w:rPr>
        <w:t>引进柔性、数字化生产设备，推动智能化生产、可视化管理、数字化决策、智能化物流，实现从产品研发、订单管理、生产、销售到物流全过程的标准化、数字化，打造“智能设备互联、工业大数据和智能应用”的智能化样板工厂，积极推动全行业向智能化转型升级。</w:t>
      </w:r>
      <w:r>
        <w:rPr>
          <w:rFonts w:hint="eastAsia" w:ascii="仿宋_GB2312" w:hAnsi="仿宋_GB2312" w:eastAsia="仿宋_GB2312" w:cs="仿宋_GB2312"/>
          <w:b/>
          <w:bCs/>
          <w:sz w:val="32"/>
          <w:szCs w:val="32"/>
        </w:rPr>
        <w:t>搭建创新平台。</w:t>
      </w:r>
      <w:r>
        <w:rPr>
          <w:rFonts w:hint="eastAsia" w:ascii="仿宋_GB2312" w:hAnsi="仿宋_GB2312" w:eastAsia="仿宋_GB2312" w:cs="仿宋_GB2312"/>
          <w:sz w:val="32"/>
          <w:szCs w:val="32"/>
        </w:rPr>
        <w:t>搭建会展、研发、检测、食品云、企业级数据中心等平台，完善产销对接、标准制定、监测预警、安全追溯等机制，重点强化粮食加工质检中心、功能性食品质检中心、酒类质检中心和速冻食品检测中心等建设。</w:t>
      </w:r>
      <w:r>
        <w:rPr>
          <w:rFonts w:hint="eastAsia" w:ascii="仿宋_GB2312" w:hAnsi="仿宋_GB2312" w:eastAsia="仿宋_GB2312" w:cs="仿宋_GB2312"/>
          <w:b/>
          <w:bCs/>
          <w:sz w:val="32"/>
          <w:szCs w:val="32"/>
        </w:rPr>
        <w:t>加强关键共性技术协同攻关。</w:t>
      </w:r>
      <w:r>
        <w:rPr>
          <w:rFonts w:hint="eastAsia" w:ascii="仿宋_GB2312" w:hAnsi="仿宋_GB2312" w:eastAsia="仿宋_GB2312" w:cs="仿宋_GB2312"/>
          <w:sz w:val="32"/>
          <w:szCs w:val="32"/>
        </w:rPr>
        <w:t>推动关键配料技术、特殊膳食配方技术、新食品资源前瞻性技术的研发和产业化，推广应用现代加工与干燥、品质认证与控制等一批生产技术，力争在营养靶向设计技术、精准营养供给技术、智能健康管理技术、天然添加剂提取技术等方面取得突破。</w:t>
      </w:r>
    </w:p>
    <w:p w14:paraId="1E7A84BC">
      <w:pPr>
        <w:pStyle w:val="23"/>
        <w:spacing w:after="0" w:line="600" w:lineRule="exact"/>
        <w:ind w:left="0" w:leftChars="0" w:firstLine="643"/>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（4）完善绿色食品产业配套服务。提升物流支撑服务能力。</w:t>
      </w:r>
      <w:r>
        <w:rPr>
          <w:rFonts w:hint="eastAsia" w:ascii="仿宋_GB2312" w:hAnsi="仿宋_GB2312" w:eastAsia="仿宋_GB2312" w:cs="仿宋_GB2312"/>
          <w:sz w:val="32"/>
          <w:szCs w:val="32"/>
        </w:rPr>
        <w:t>依托乳制品、果蔬、肉制品等大中型生产加工企业和食品工业集聚区，结合公路港、铁路港、航空港和物流园区集中规划，串联颍东区、颍上县、临泉县、阜南县等食品加工与物流中心，推动一批运转高效、跨区域经营的冷链物流配送中心项目建设，积极构建跨区域冷链物流配送网络。</w:t>
      </w:r>
      <w:r>
        <w:rPr>
          <w:rFonts w:hint="eastAsia" w:ascii="仿宋_GB2312" w:hAnsi="仿宋_GB2312" w:eastAsia="仿宋_GB2312" w:cs="仿宋_GB2312"/>
          <w:b/>
          <w:bCs/>
          <w:sz w:val="32"/>
          <w:szCs w:val="32"/>
        </w:rPr>
        <w:t>提升电子商务技术支持与服务层级。</w:t>
      </w:r>
      <w:r>
        <w:rPr>
          <w:rFonts w:hint="eastAsia" w:ascii="仿宋_GB2312" w:hAnsi="仿宋_GB2312" w:eastAsia="仿宋_GB2312" w:cs="仿宋_GB2312"/>
          <w:sz w:val="32"/>
          <w:szCs w:val="32"/>
        </w:rPr>
        <w:t>推动建立食品电商产业园，创建绿色食品电商示范平台，全力打造覆盖中部、辐射全国、连通国际的食品商贸基地。</w:t>
      </w:r>
      <w:r>
        <w:rPr>
          <w:rFonts w:hint="eastAsia" w:ascii="仿宋_GB2312" w:hAnsi="仿宋_GB2312" w:eastAsia="仿宋_GB2312" w:cs="仿宋_GB2312"/>
          <w:b/>
          <w:bCs/>
          <w:sz w:val="32"/>
          <w:szCs w:val="32"/>
        </w:rPr>
        <w:t>完善相关产业融合发展的产业生态。</w:t>
      </w:r>
      <w:r>
        <w:rPr>
          <w:rFonts w:hint="eastAsia" w:ascii="仿宋_GB2312" w:hAnsi="仿宋_GB2312" w:eastAsia="仿宋_GB2312" w:cs="仿宋_GB2312"/>
          <w:sz w:val="32"/>
          <w:szCs w:val="32"/>
        </w:rPr>
        <w:t>推动绿色食品与食品机械、食品包装、休闲观光旅游等产业融合发展，打造完善的绿色食品产业生态。</w:t>
      </w:r>
    </w:p>
    <w:p w14:paraId="06D3F8EB">
      <w:pPr>
        <w:pStyle w:val="20"/>
        <w:spacing w:line="600" w:lineRule="exact"/>
        <w:ind w:firstLine="643" w:firstLineChars="200"/>
        <w:outlineLvl w:val="2"/>
        <w:rPr>
          <w:rFonts w:hint="eastAsia" w:ascii="仿宋_GB2312" w:hAnsi="仿宋_GB2312" w:eastAsia="仿宋_GB2312" w:cs="仿宋_GB2312"/>
          <w:b/>
          <w:kern w:val="2"/>
          <w:sz w:val="32"/>
          <w:szCs w:val="32"/>
        </w:rPr>
      </w:pPr>
      <w:r>
        <w:rPr>
          <w:rFonts w:hint="eastAsia" w:ascii="仿宋_GB2312" w:hAnsi="仿宋_GB2312" w:eastAsia="仿宋_GB2312" w:cs="仿宋_GB2312"/>
          <w:b/>
          <w:kern w:val="2"/>
          <w:sz w:val="32"/>
          <w:szCs w:val="32"/>
          <w:lang w:val="en-US" w:eastAsia="zh-CN"/>
        </w:rPr>
        <w:t>4</w:t>
      </w:r>
      <w:r>
        <w:rPr>
          <w:rFonts w:hint="eastAsia" w:ascii="仿宋_GB2312" w:hAnsi="仿宋_GB2312" w:eastAsia="仿宋_GB2312" w:cs="仿宋_GB2312"/>
          <w:b/>
          <w:kern w:val="2"/>
          <w:sz w:val="32"/>
          <w:szCs w:val="32"/>
        </w:rPr>
        <w:t>.发展重点</w:t>
      </w:r>
      <w:bookmarkEnd w:id="214"/>
    </w:p>
    <w:p w14:paraId="1F53EFE5">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（1）重点发展</w:t>
      </w:r>
    </w:p>
    <w:p w14:paraId="460F3806">
      <w:pPr>
        <w:spacing w:line="600" w:lineRule="exact"/>
        <w:ind w:firstLine="643" w:firstLineChars="200"/>
        <w:rPr>
          <w:rStyle w:val="34"/>
          <w:rFonts w:hint="default" w:hAnsi="仿宋_GB2312" w:cs="仿宋_GB2312"/>
        </w:rPr>
      </w:pPr>
      <w:r>
        <w:rPr>
          <w:rFonts w:hint="eastAsia" w:ascii="仿宋_GB2312" w:hAnsi="仿宋_GB2312" w:eastAsia="仿宋_GB2312" w:cs="仿宋_GB2312"/>
          <w:b/>
          <w:bCs/>
          <w:sz w:val="32"/>
          <w:szCs w:val="32"/>
        </w:rPr>
        <w:t>粮油精深加工。</w:t>
      </w:r>
      <w:r>
        <w:rPr>
          <w:rFonts w:hint="eastAsia" w:ascii="仿宋_GB2312" w:hAnsi="仿宋_GB2312" w:eastAsia="仿宋_GB2312" w:cs="仿宋_GB2312"/>
          <w:sz w:val="32"/>
          <w:szCs w:val="32"/>
        </w:rPr>
        <w:t>依托</w:t>
      </w:r>
      <w:r>
        <w:rPr>
          <w:rStyle w:val="34"/>
          <w:rFonts w:hint="default" w:hAnsi="仿宋_GB2312" w:cs="仿宋_GB2312"/>
        </w:rPr>
        <w:t>管氏面业、中裕面业、皖润米业、双全面粉等龙头企业，重点发展优质大米，前端培育更适合精深加工的稻米品种，后端推动稻米副产物综合利用，探索建设稻米组分高效分离、稻米功能性粮油食品、稻米副产物增值转化和稻米食品营养与安全检测等研发平台，发展发芽糙米、功能性大米、米线、米糠油、大米蛋白粉、淀粉等产品，提升阜阳粮食深加工技术水平。重点发展各品种优质面粉，引进先进的制粉设备和工艺加工系统，严控筛、打、光电色选、皮磨等工艺流程，发展高、中、低筋面粉、无筋面粉以及谷朊粉加工，保障面粉多品种性发展，带动粉面、粉丝、粉皮为主要产品的“三粉”深加工产业，积极开发液体蛋白饲料、小麦白蛋白、变性淀粉、食用麸皮制品、麦胚豆奶、营养快餐麦片、膨化小麦等产品。稳定传统大豆油、芝麻油生产规模，大力推进玉米油、米糠油生产，适度发展葵花籽油、亚麻籽油等，强化大豆蛋白粉、大豆膳食纤维等油脂加工类副产物的综合加工能力，探索磷脂（大豆）、大豆多糖、芝麻膳食纤维、芝麻素、芝麻亚油酸等成分营养品，逐步提高行业盈利能力。</w:t>
      </w:r>
    </w:p>
    <w:p w14:paraId="03D8EFC5">
      <w:pPr>
        <w:spacing w:line="600" w:lineRule="exact"/>
        <w:ind w:firstLine="643" w:firstLineChars="200"/>
        <w:rPr>
          <w:rStyle w:val="34"/>
          <w:rFonts w:hint="default" w:hAnsi="仿宋_GB2312" w:cs="仿宋_GB2312"/>
        </w:rPr>
      </w:pPr>
      <w:r>
        <w:rPr>
          <w:rStyle w:val="34"/>
          <w:rFonts w:hint="default" w:hAnsi="仿宋_GB2312" w:cs="仿宋_GB2312"/>
          <w:b/>
          <w:bCs/>
        </w:rPr>
        <w:t>乳制品。</w:t>
      </w:r>
      <w:r>
        <w:rPr>
          <w:rStyle w:val="34"/>
          <w:rFonts w:hint="default" w:hAnsi="仿宋_GB2312" w:cs="仿宋_GB2312"/>
        </w:rPr>
        <w:t>以中羊牧业等龙头企业为引领，重点发展巴氏杀菌活性酸奶产品，创新研发搅拌型、凝固型酸奶及酸奶饮品等不同风味的高附加值产品，鼓励发展满足不同消费者需求的功能性乳制品。持续加强奶源基地建设、奶畜品种质量提高及畜群结构调整，优化销售网点布局，提升冷链物流管理水平。完善安全监控体系，提高奶源检验检测水平，切实保障产品安全性。</w:t>
      </w:r>
    </w:p>
    <w:p w14:paraId="06E63748">
      <w:pPr>
        <w:spacing w:line="600" w:lineRule="exact"/>
        <w:ind w:firstLine="643" w:firstLineChars="200"/>
        <w:rPr>
          <w:rStyle w:val="34"/>
          <w:rFonts w:hint="default" w:hAnsi="仿宋_GB2312" w:cs="仿宋_GB2312"/>
        </w:rPr>
      </w:pPr>
      <w:r>
        <w:rPr>
          <w:rStyle w:val="34"/>
          <w:rFonts w:hint="default" w:hAnsi="仿宋_GB2312" w:cs="仿宋_GB2312"/>
          <w:b/>
          <w:bCs/>
        </w:rPr>
        <w:t>白酒。</w:t>
      </w:r>
      <w:r>
        <w:rPr>
          <w:rStyle w:val="34"/>
          <w:rFonts w:hint="default" w:hAnsi="仿宋_GB2312" w:cs="仿宋_GB2312"/>
        </w:rPr>
        <w:t>以金种子、文王等龙头企业为引领，发挥龙头带动作用，加强金种子与华润战投合资合作，构建以打造品牌美誉度为目标的传播体系，丰富品牌活动，提升品牌活跃度，挖掘符合目标消费者的品牌诉求，构建完整的品牌价值体系，致力打造行业标杆。借助安徽省柔和型白酒酿造及质量安全工程技术研究中心等创新平台，加强现代生物技术、发酵技术、信息技术和物联网技术等在传统发酵工艺中的运用，建设智慧工厂，推广无氧酿造、无菌过滤、无菌灌装等新技术，全力打造优质基酒、多香型白酒。</w:t>
      </w:r>
    </w:p>
    <w:p w14:paraId="2471BFAF">
      <w:pPr>
        <w:spacing w:line="600" w:lineRule="exact"/>
        <w:ind w:firstLine="643" w:firstLineChars="200"/>
        <w:rPr>
          <w:rStyle w:val="34"/>
          <w:rFonts w:hint="default" w:hAnsi="仿宋_GB2312" w:cs="仿宋_GB2312"/>
        </w:rPr>
      </w:pPr>
      <w:r>
        <w:rPr>
          <w:rStyle w:val="34"/>
          <w:rFonts w:hint="default" w:hAnsi="仿宋_GB2312" w:cs="仿宋_GB2312"/>
          <w:b/>
          <w:bCs/>
        </w:rPr>
        <w:t>食盐加工。</w:t>
      </w:r>
      <w:r>
        <w:rPr>
          <w:rStyle w:val="34"/>
          <w:rFonts w:hint="default" w:hAnsi="仿宋_GB2312" w:cs="仿宋_GB2312"/>
        </w:rPr>
        <w:t>以强旺食品等龙头企业为引领，把握现代调味品多元化需求趋势，重点发展多</w:t>
      </w:r>
      <w:r>
        <w:rPr>
          <w:rStyle w:val="34"/>
          <w:rFonts w:hint="eastAsia" w:hAnsi="仿宋_GB2312" w:eastAsia="仿宋_GB2312" w:cs="仿宋_GB2312"/>
          <w:lang w:eastAsia="zh-CN"/>
        </w:rPr>
        <w:t>品种</w:t>
      </w:r>
      <w:r>
        <w:rPr>
          <w:rStyle w:val="34"/>
          <w:rFonts w:hint="default" w:hAnsi="仿宋_GB2312" w:cs="仿宋_GB2312"/>
        </w:rPr>
        <w:t>盐，包括补充人体缺乏的营养素（钾、硒、铁、锌、核黄素）的多品种盐、添加食品香辛料和食品调料的多品种盐</w:t>
      </w:r>
      <w:r>
        <w:rPr>
          <w:rStyle w:val="28"/>
          <w:rFonts w:hint="eastAsia" w:ascii="仿宋_GB2312" w:hAnsi="仿宋_GB2312" w:eastAsia="仿宋_GB2312" w:cs="仿宋_GB2312"/>
          <w:sz w:val="32"/>
          <w:szCs w:val="32"/>
        </w:rPr>
        <w:t>等</w:t>
      </w:r>
      <w:r>
        <w:rPr>
          <w:rStyle w:val="34"/>
          <w:rFonts w:hint="default" w:hAnsi="仿宋_GB2312" w:cs="仿宋_GB2312"/>
        </w:rPr>
        <w:t>，推动食盐向安全、美味、健康、便利四个方向发展。</w:t>
      </w:r>
    </w:p>
    <w:p w14:paraId="55224D39">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（2）大力发展</w:t>
      </w:r>
    </w:p>
    <w:p w14:paraId="46B9CF30">
      <w:pPr>
        <w:spacing w:line="600" w:lineRule="exact"/>
        <w:ind w:firstLine="643" w:firstLineChars="200"/>
        <w:rPr>
          <w:rStyle w:val="34"/>
          <w:rFonts w:hint="default" w:hAnsi="仿宋_GB2312" w:cs="仿宋_GB2312"/>
        </w:rPr>
      </w:pPr>
      <w:r>
        <w:rPr>
          <w:rFonts w:hint="eastAsia" w:ascii="仿宋_GB2312" w:hAnsi="仿宋_GB2312" w:eastAsia="仿宋_GB2312" w:cs="仿宋_GB2312"/>
          <w:b/>
          <w:bCs/>
          <w:sz w:val="32"/>
          <w:szCs w:val="32"/>
        </w:rPr>
        <w:t>农副食品加工。蔬菜（含食用菌）加工。</w:t>
      </w:r>
      <w:r>
        <w:rPr>
          <w:rFonts w:hint="eastAsia" w:ascii="仿宋_GB2312" w:hAnsi="仿宋_GB2312" w:eastAsia="仿宋_GB2312" w:cs="仿宋_GB2312"/>
          <w:sz w:val="32"/>
          <w:szCs w:val="32"/>
        </w:rPr>
        <w:t>以脱水蔬菜、食用菌和芥菜类食品生产与加工骨干企业为重点，重点发展脱水蔬菜、蔬菜提取物、菜汁饮料、蔬菜罐头等，拓展发展蔬菜脆片等。发挥阜阳食品产业发展研究院、工程技术中心等创新平台的作用，推进科技创新与转化应用，提升区域绿色食品产业就地转化能力，促进农副产品优势产业向生态健康产业延伸。</w:t>
      </w:r>
      <w:r>
        <w:rPr>
          <w:rFonts w:hint="eastAsia" w:ascii="仿宋_GB2312" w:hAnsi="仿宋_GB2312" w:eastAsia="仿宋_GB2312" w:cs="仿宋_GB2312"/>
          <w:b/>
          <w:bCs/>
          <w:sz w:val="32"/>
          <w:szCs w:val="32"/>
        </w:rPr>
        <w:t>肉制品及蛋制品。</w:t>
      </w:r>
      <w:r>
        <w:rPr>
          <w:rStyle w:val="34"/>
          <w:rFonts w:hint="default" w:hAnsi="仿宋_GB2312" w:cs="仿宋_GB2312"/>
        </w:rPr>
        <w:t>以天邦、牧原、福润等重点龙头企业为引领，大力发展肉牛、生猪及草食畜禽等系列冷鲜制品、低温制品，实行差异化竞争战略，推动鲜肉制品向预冻肉、小包装、细分割方向发展，熟肉制品向多品种、系列化、全营养、精包装、易储存方向发展；依托金牌蛋制品等企业，发展面向家庭消费的小包装蛋制品和腌蛋制品，探索发展蛋液类产品。</w:t>
      </w:r>
    </w:p>
    <w:p w14:paraId="0E30FE2F">
      <w:pPr>
        <w:spacing w:line="600" w:lineRule="exact"/>
        <w:ind w:firstLine="643" w:firstLineChars="200"/>
        <w:rPr>
          <w:rFonts w:ascii="仿宋_GB2312" w:hAnsi="仿宋_GB2312" w:eastAsia="仿宋_GB2312" w:cs="仿宋_GB2312"/>
          <w:sz w:val="32"/>
          <w:szCs w:val="32"/>
        </w:rPr>
      </w:pPr>
      <w:r>
        <w:rPr>
          <w:rStyle w:val="34"/>
          <w:rFonts w:hint="default" w:hAnsi="仿宋_GB2312" w:cs="仿宋_GB2312"/>
          <w:b/>
          <w:bCs/>
        </w:rPr>
        <w:t>食品制造。</w:t>
      </w:r>
      <w:r>
        <w:rPr>
          <w:rFonts w:hint="eastAsia" w:ascii="仿宋_GB2312" w:hAnsi="仿宋_GB2312" w:eastAsia="仿宋_GB2312" w:cs="仿宋_GB2312"/>
          <w:b/>
          <w:bCs/>
          <w:sz w:val="32"/>
          <w:szCs w:val="32"/>
        </w:rPr>
        <w:t>焙烤食品业。</w:t>
      </w:r>
      <w:r>
        <w:rPr>
          <w:rFonts w:hint="eastAsia" w:ascii="仿宋_GB2312" w:hAnsi="仿宋_GB2312" w:eastAsia="仿宋_GB2312" w:cs="仿宋_GB2312"/>
          <w:sz w:val="32"/>
          <w:szCs w:val="32"/>
        </w:rPr>
        <w:t>以聚发食品、</w:t>
      </w:r>
      <w:r>
        <w:rPr>
          <w:rFonts w:hint="eastAsia" w:ascii="仿宋_GB2312" w:hAnsi="仿宋_GB2312" w:eastAsia="仿宋_GB2312" w:cs="仿宋_GB2312"/>
          <w:sz w:val="32"/>
          <w:szCs w:val="32"/>
          <w:lang w:val="en-US" w:eastAsia="zh-CN"/>
        </w:rPr>
        <w:t>洽洽瓜子、瑞芙莲、兆龙、浩浩食品、麦吉食品、</w:t>
      </w:r>
      <w:r>
        <w:rPr>
          <w:rFonts w:hint="eastAsia" w:ascii="仿宋_GB2312" w:hAnsi="仿宋_GB2312" w:eastAsia="仿宋_GB2312" w:cs="仿宋_GB2312"/>
          <w:sz w:val="32"/>
          <w:szCs w:val="32"/>
        </w:rPr>
        <w:t>品滋味、华民食品、恒利源等企业为引领，持续开发生产面包、蛋糕等烘焙食品，推出适宜不同消费群体的烘焙产品，扩大果汁软糖、牛轧糖、巧克力等糖果的生产规模，鼓励发展时尚、多元的面包、饼干、糖果等产品包装，以特色化和健康化为方向，开发多档次、多品种的面包、糖果等产品，提高食品加工装备配套能力，实现产品系列化、规模化。</w:t>
      </w:r>
      <w:r>
        <w:rPr>
          <w:rFonts w:hint="eastAsia" w:ascii="仿宋_GB2312" w:hAnsi="仿宋_GB2312" w:eastAsia="仿宋_GB2312" w:cs="仿宋_GB2312"/>
          <w:b/>
          <w:bCs/>
          <w:sz w:val="32"/>
          <w:szCs w:val="32"/>
          <w:lang w:val="en-US" w:eastAsia="zh-CN"/>
        </w:rPr>
        <w:t>健康</w:t>
      </w:r>
      <w:r>
        <w:rPr>
          <w:rFonts w:hint="eastAsia" w:ascii="仿宋_GB2312" w:hAnsi="仿宋_GB2312" w:eastAsia="仿宋_GB2312" w:cs="仿宋_GB2312"/>
          <w:b/>
          <w:bCs/>
          <w:sz w:val="32"/>
          <w:szCs w:val="32"/>
        </w:rPr>
        <w:t>食品。</w:t>
      </w:r>
      <w:r>
        <w:rPr>
          <w:rFonts w:hint="eastAsia" w:ascii="仿宋_GB2312" w:hAnsi="仿宋_GB2312" w:eastAsia="仿宋_GB2312" w:cs="仿宋_GB2312"/>
          <w:sz w:val="32"/>
          <w:szCs w:val="32"/>
        </w:rPr>
        <w:t>以猛牛食品、麦德发食品、大维食品、蜜香村食品等企业为引领，着力开发保鲜食品、快餐食品、自热速食、营养专用主食、传统方便主食和速冻食品，丰富料包风味，积极开发高档化、多种风味的方便面</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方便米饭、方便米粉、方便粥等产品，持续提高市场细分和产品差异化水平。围绕降低油脂，丰富维生素、矿物质等营养元素，鼓励开发非油炸</w:t>
      </w:r>
      <w:r>
        <w:rPr>
          <w:rFonts w:hint="eastAsia" w:ascii="仿宋_GB2312" w:hAnsi="仿宋_GB2312" w:eastAsia="仿宋_GB2312" w:cs="仿宋_GB2312"/>
          <w:sz w:val="32"/>
          <w:szCs w:val="32"/>
          <w:lang w:val="en-US" w:eastAsia="zh-CN"/>
        </w:rPr>
        <w:t>类</w:t>
      </w:r>
      <w:r>
        <w:rPr>
          <w:rFonts w:hint="eastAsia" w:ascii="仿宋_GB2312" w:hAnsi="仿宋_GB2312" w:eastAsia="仿宋_GB2312" w:cs="仿宋_GB2312"/>
          <w:sz w:val="32"/>
          <w:szCs w:val="32"/>
        </w:rPr>
        <w:t>新产品，打造健康营养的方便食品形象，提高产品吸引力。</w:t>
      </w:r>
    </w:p>
    <w:p w14:paraId="2188BFDA">
      <w:pPr>
        <w:spacing w:line="600" w:lineRule="exact"/>
        <w:ind w:firstLine="643" w:firstLineChars="200"/>
        <w:rPr>
          <w:rFonts w:ascii="仿宋_GB2312" w:hAnsi="仿宋_GB2312" w:eastAsia="仿宋_GB2312" w:cs="仿宋_GB2312"/>
          <w:sz w:val="32"/>
          <w:szCs w:val="32"/>
        </w:rPr>
      </w:pPr>
      <w:bookmarkStart w:id="215" w:name="_Toc10119"/>
      <w:r>
        <w:rPr>
          <w:rFonts w:hint="eastAsia" w:ascii="仿宋_GB2312" w:hAnsi="仿宋_GB2312" w:eastAsia="仿宋_GB2312" w:cs="仿宋_GB2312"/>
          <w:b/>
          <w:bCs/>
          <w:sz w:val="32"/>
          <w:szCs w:val="32"/>
        </w:rPr>
        <w:t>啤酒及饮料。啤酒。</w:t>
      </w:r>
      <w:r>
        <w:rPr>
          <w:rFonts w:hint="eastAsia" w:ascii="仿宋_GB2312" w:hAnsi="仿宋_GB2312" w:eastAsia="仿宋_GB2312" w:cs="仿宋_GB2312"/>
          <w:sz w:val="32"/>
          <w:szCs w:val="32"/>
        </w:rPr>
        <w:t>依托华润雪花、卡登堡酒业等骨干企业，顺应市场趋势和消费者多样化需求，加大黑啤、扎啤、冰啤、干啤等多品种啤酒开发，丰富啤酒种类，以新产品带动盈利能力。加大自主品牌研发，以产品为基，高端树品牌，中端求放量，主流做减法，以渠道为主，因地制宜发展啤酒产业。</w:t>
      </w:r>
      <w:r>
        <w:rPr>
          <w:rFonts w:hint="eastAsia" w:ascii="仿宋_GB2312" w:hAnsi="仿宋_GB2312" w:eastAsia="仿宋_GB2312" w:cs="仿宋_GB2312"/>
          <w:b/>
          <w:bCs/>
          <w:sz w:val="32"/>
          <w:szCs w:val="32"/>
        </w:rPr>
        <w:t>饮料。</w:t>
      </w:r>
      <w:r>
        <w:rPr>
          <w:rFonts w:hint="eastAsia" w:ascii="仿宋_GB2312" w:hAnsi="仿宋_GB2312" w:eastAsia="仿宋_GB2312" w:cs="仿宋_GB2312"/>
          <w:sz w:val="32"/>
          <w:szCs w:val="32"/>
        </w:rPr>
        <w:t>进一步深入挖掘特色果蔬资源，以椰枫食品、中绿饮品、顶津饮品等企业为骨干，主动对接市场需求，推出符合年轻消费群体需求的谷物、植物蛋白类等绿色健康饮料，持续发展果蔬汁饮料、植物蛋白饮料和功能性饮料等系列产品，谋划推广即饮咖啡、运动功能性饮料等系列产品。</w:t>
      </w:r>
      <w:bookmarkEnd w:id="215"/>
    </w:p>
    <w:p w14:paraId="19F9E02C">
      <w:pPr>
        <w:spacing w:line="600" w:lineRule="exact"/>
        <w:ind w:firstLine="643" w:firstLineChars="200"/>
        <w:outlineLvl w:val="1"/>
        <w:rPr>
          <w:rFonts w:ascii="楷体_GB2312" w:hAnsi="楷体_GB2312" w:eastAsia="楷体_GB2312" w:cs="楷体_GB2312"/>
          <w:b/>
          <w:bCs/>
          <w:sz w:val="32"/>
          <w:szCs w:val="32"/>
        </w:rPr>
      </w:pPr>
      <w:bookmarkStart w:id="216" w:name="_Toc1567"/>
      <w:bookmarkStart w:id="217" w:name="_Toc11995"/>
      <w:bookmarkStart w:id="218" w:name="_Toc589"/>
      <w:bookmarkStart w:id="219" w:name="_Toc25989"/>
      <w:bookmarkStart w:id="220" w:name="_Toc2832"/>
      <w:bookmarkStart w:id="221" w:name="_Toc29881"/>
      <w:bookmarkStart w:id="222" w:name="_Toc2891"/>
      <w:bookmarkStart w:id="223" w:name="_Toc5600"/>
      <w:bookmarkStart w:id="224" w:name="_Toc23815"/>
      <w:bookmarkStart w:id="225" w:name="_Toc24123"/>
      <w:bookmarkStart w:id="226" w:name="_Toc30422"/>
      <w:bookmarkStart w:id="227" w:name="_Toc19757"/>
      <w:bookmarkStart w:id="228" w:name="_Toc6165"/>
      <w:bookmarkStart w:id="229" w:name="_Toc29316"/>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四</w:t>
      </w:r>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生命健康</w:t>
      </w:r>
      <w:r>
        <w:rPr>
          <w:rFonts w:hint="eastAsia" w:ascii="楷体_GB2312" w:hAnsi="楷体_GB2312" w:eastAsia="楷体_GB2312" w:cs="楷体_GB2312"/>
          <w:b/>
          <w:bCs/>
          <w:sz w:val="32"/>
          <w:szCs w:val="32"/>
        </w:rPr>
        <w:t>产业</w:t>
      </w:r>
      <w:bookmarkEnd w:id="216"/>
      <w:bookmarkEnd w:id="217"/>
      <w:bookmarkEnd w:id="218"/>
      <w:bookmarkEnd w:id="219"/>
      <w:bookmarkEnd w:id="220"/>
      <w:bookmarkEnd w:id="221"/>
    </w:p>
    <w:p w14:paraId="5BBE20B3">
      <w:pPr>
        <w:spacing w:line="600" w:lineRule="exact"/>
        <w:ind w:firstLine="643" w:firstLineChars="200"/>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rPr>
        <w:t>1.发展目标</w:t>
      </w:r>
    </w:p>
    <w:p w14:paraId="69A3BC0B">
      <w:pPr>
        <w:spacing w:line="6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紧</w:t>
      </w:r>
      <w:r>
        <w:rPr>
          <w:rFonts w:hint="eastAsia" w:ascii="Times New Roman" w:hAnsi="Times New Roman" w:eastAsia="仿宋_GB2312"/>
          <w:sz w:val="32"/>
          <w:szCs w:val="32"/>
          <w:lang w:val="en-US" w:eastAsia="zh-CN"/>
        </w:rPr>
        <w:t>盯</w:t>
      </w:r>
      <w:r>
        <w:rPr>
          <w:rFonts w:hint="eastAsia" w:ascii="Times New Roman" w:hAnsi="Times New Roman" w:eastAsia="仿宋_GB2312"/>
          <w:sz w:val="32"/>
          <w:szCs w:val="32"/>
        </w:rPr>
        <w:t>国内外医药产业发展趋势，秉持特色化、数字化、国际化发展思路，重点发展化学原料药、成品药和现代中药，培育壮大营养健康产业，形成具有阜阳特色的</w:t>
      </w:r>
      <w:r>
        <w:rPr>
          <w:rFonts w:hint="eastAsia" w:ascii="Times New Roman" w:hAnsi="Times New Roman" w:eastAsia="仿宋_GB2312"/>
          <w:sz w:val="32"/>
          <w:szCs w:val="32"/>
          <w:lang w:val="en-US" w:eastAsia="zh-CN"/>
        </w:rPr>
        <w:t>生命健康</w:t>
      </w:r>
      <w:r>
        <w:rPr>
          <w:rFonts w:hint="eastAsia" w:ascii="Times New Roman" w:hAnsi="Times New Roman" w:eastAsia="仿宋_GB2312"/>
          <w:sz w:val="32"/>
          <w:szCs w:val="32"/>
        </w:rPr>
        <w:t>产业体系。到2025年，</w:t>
      </w:r>
      <w:r>
        <w:rPr>
          <w:rFonts w:hint="eastAsia" w:ascii="Times New Roman" w:hAnsi="Times New Roman" w:eastAsia="仿宋_GB2312"/>
          <w:sz w:val="32"/>
          <w:szCs w:val="32"/>
          <w:lang w:val="en-US" w:eastAsia="zh-CN"/>
        </w:rPr>
        <w:t>将阜阳打造成为“中国医药之都”</w:t>
      </w:r>
      <w:r>
        <w:rPr>
          <w:rFonts w:hint="eastAsia" w:ascii="Times New Roman" w:hAnsi="Times New Roman" w:eastAsia="仿宋_GB2312"/>
          <w:sz w:val="32"/>
          <w:szCs w:val="32"/>
        </w:rPr>
        <w:t>，培育或引入销售收入50亿元以上的企业</w:t>
      </w:r>
      <w:r>
        <w:rPr>
          <w:rFonts w:ascii="Times New Roman" w:hAnsi="Times New Roman" w:eastAsia="仿宋_GB2312"/>
          <w:sz w:val="32"/>
          <w:szCs w:val="32"/>
        </w:rPr>
        <w:t>5</w:t>
      </w:r>
      <w:r>
        <w:rPr>
          <w:rFonts w:hint="eastAsia" w:ascii="Times New Roman" w:hAnsi="Times New Roman" w:eastAsia="仿宋_GB2312"/>
          <w:sz w:val="32"/>
          <w:szCs w:val="32"/>
        </w:rPr>
        <w:t>家，</w:t>
      </w:r>
      <w:r>
        <w:rPr>
          <w:rFonts w:hint="eastAsia" w:ascii="Times New Roman" w:hAnsi="Times New Roman" w:eastAsia="仿宋_GB2312"/>
          <w:sz w:val="32"/>
          <w:szCs w:val="32"/>
          <w:lang w:val="en-US" w:eastAsia="zh-CN"/>
        </w:rPr>
        <w:t>生命健康</w:t>
      </w:r>
      <w:r>
        <w:rPr>
          <w:rFonts w:hint="eastAsia" w:ascii="Times New Roman" w:hAnsi="Times New Roman" w:eastAsia="仿宋_GB2312"/>
          <w:sz w:val="32"/>
          <w:szCs w:val="32"/>
        </w:rPr>
        <w:t>产业产值</w:t>
      </w:r>
      <w:r>
        <w:rPr>
          <w:rFonts w:hint="eastAsia" w:ascii="Times New Roman" w:hAnsi="Times New Roman" w:eastAsia="仿宋_GB2312"/>
          <w:sz w:val="32"/>
          <w:szCs w:val="32"/>
          <w:lang w:val="en-US" w:eastAsia="zh-CN"/>
        </w:rPr>
        <w:t>达到5</w:t>
      </w:r>
      <w:r>
        <w:rPr>
          <w:rFonts w:hint="eastAsia" w:ascii="Times New Roman" w:hAnsi="Times New Roman" w:eastAsia="仿宋_GB2312"/>
          <w:sz w:val="32"/>
          <w:szCs w:val="32"/>
        </w:rPr>
        <w:t>00亿元。</w:t>
      </w:r>
    </w:p>
    <w:p w14:paraId="64034498">
      <w:pPr>
        <w:spacing w:line="600" w:lineRule="exact"/>
        <w:ind w:firstLine="643" w:firstLineChars="200"/>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rPr>
        <w:t>2.发展现状</w:t>
      </w:r>
    </w:p>
    <w:p w14:paraId="17DE04A9">
      <w:pPr>
        <w:spacing w:line="6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目前，阜阳</w:t>
      </w:r>
      <w:r>
        <w:rPr>
          <w:rFonts w:hint="eastAsia" w:ascii="Times New Roman" w:hAnsi="Times New Roman" w:eastAsia="仿宋_GB2312"/>
          <w:sz w:val="32"/>
          <w:szCs w:val="32"/>
          <w:lang w:val="en-US" w:eastAsia="zh-CN"/>
        </w:rPr>
        <w:t>生命健康</w:t>
      </w:r>
      <w:r>
        <w:rPr>
          <w:rFonts w:hint="eastAsia" w:ascii="Times New Roman" w:hAnsi="Times New Roman" w:eastAsia="仿宋_GB2312"/>
          <w:sz w:val="32"/>
          <w:szCs w:val="32"/>
        </w:rPr>
        <w:t>产业已基本形成以太和经开区为核心，“一核多极”的发展格局。拥有规模以上企业76家，2020年实现产值174.77亿元。拥有以安徽贝克联合制药、安徽德信佳生物医药、悦康生物为代表的化学原料药龙头企业，以锦辉制药、华源仁济、联谊药业为代表的化学制剂龙头企业；以安徽万生、永生堂、哈博药业为代表的现代中药龙头企业。</w:t>
      </w:r>
    </w:p>
    <w:p w14:paraId="2C34F50F">
      <w:pPr>
        <w:spacing w:line="6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但我市</w:t>
      </w:r>
      <w:r>
        <w:rPr>
          <w:rFonts w:hint="eastAsia" w:ascii="Times New Roman" w:hAnsi="Times New Roman" w:eastAsia="仿宋_GB2312"/>
          <w:sz w:val="32"/>
          <w:szCs w:val="32"/>
          <w:lang w:val="en-US" w:eastAsia="zh-CN"/>
        </w:rPr>
        <w:t>生命健康</w:t>
      </w:r>
      <w:r>
        <w:rPr>
          <w:rFonts w:hint="eastAsia" w:ascii="Times New Roman" w:hAnsi="Times New Roman" w:eastAsia="仿宋_GB2312"/>
          <w:sz w:val="32"/>
          <w:szCs w:val="32"/>
        </w:rPr>
        <w:t>产业也存在着一些限制产业高质量发展的瓶颈与问题。产品结构有待优化，现有产品中原料药企业多、制剂制药企业少，中药饮片企业多、中药制剂企业少，产品附加值低，竞争力弱，处在产业链、价值链的低端，且受到药材原材料供应链的制约较大；企业自主研发能力普遍薄弱，高端人才与经验丰富的中层技术工人引不进、留不住；产业平台不完善，缺乏配套服务，医药安全评价平台、医疗器械设计配套企业不足，药品质量公共技术服务平台缺少，医疗器械检验中心资质不全。</w:t>
      </w:r>
    </w:p>
    <w:p w14:paraId="4CC58EAD">
      <w:pPr>
        <w:spacing w:line="600" w:lineRule="exact"/>
        <w:ind w:firstLine="643" w:firstLineChars="200"/>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lang w:val="en-US" w:eastAsia="zh-CN"/>
        </w:rPr>
        <w:t>3</w:t>
      </w:r>
      <w:r>
        <w:rPr>
          <w:rFonts w:hint="eastAsia" w:ascii="仿宋_GB2312" w:hAnsi="仿宋_GB2312" w:eastAsia="仿宋_GB2312" w:cs="仿宋_GB2312"/>
          <w:b/>
          <w:sz w:val="32"/>
          <w:szCs w:val="32"/>
        </w:rPr>
        <w:t>.发展思路</w:t>
      </w:r>
    </w:p>
    <w:p w14:paraId="786AB94D">
      <w:pPr>
        <w:spacing w:line="600" w:lineRule="exact"/>
        <w:ind w:firstLine="643" w:firstLineChars="200"/>
        <w:rPr>
          <w:rFonts w:hint="eastAsia" w:ascii="Times New Roman" w:hAnsi="Times New Roman" w:eastAsia="仿宋_GB2312"/>
          <w:sz w:val="32"/>
          <w:szCs w:val="32"/>
        </w:rPr>
      </w:pPr>
      <w:r>
        <w:rPr>
          <w:rFonts w:hint="eastAsia" w:ascii="Times New Roman" w:hAnsi="Times New Roman" w:eastAsia="仿宋_GB2312"/>
          <w:b/>
          <w:bCs/>
          <w:sz w:val="32"/>
          <w:szCs w:val="32"/>
        </w:rPr>
        <w:t>（</w:t>
      </w:r>
      <w:r>
        <w:rPr>
          <w:rFonts w:hint="eastAsia" w:ascii="Times New Roman" w:hAnsi="Times New Roman" w:eastAsia="仿宋_GB2312"/>
          <w:b/>
          <w:bCs/>
          <w:sz w:val="32"/>
          <w:szCs w:val="32"/>
          <w:lang w:val="en-US" w:eastAsia="zh-CN"/>
        </w:rPr>
        <w:t>1</w:t>
      </w:r>
      <w:r>
        <w:rPr>
          <w:rFonts w:hint="eastAsia" w:ascii="Times New Roman" w:hAnsi="Times New Roman" w:eastAsia="仿宋_GB2312"/>
          <w:b/>
          <w:bCs/>
          <w:sz w:val="32"/>
          <w:szCs w:val="32"/>
        </w:rPr>
        <w:t>）完善</w:t>
      </w:r>
      <w:r>
        <w:rPr>
          <w:rFonts w:hint="eastAsia" w:ascii="Times New Roman" w:hAnsi="Times New Roman" w:eastAsia="仿宋_GB2312"/>
          <w:b/>
          <w:bCs/>
          <w:sz w:val="32"/>
          <w:szCs w:val="32"/>
          <w:lang w:val="en-US" w:eastAsia="zh-CN"/>
        </w:rPr>
        <w:t>生命健康</w:t>
      </w:r>
      <w:r>
        <w:rPr>
          <w:rFonts w:hint="eastAsia" w:ascii="Times New Roman" w:hAnsi="Times New Roman" w:eastAsia="仿宋_GB2312"/>
          <w:b/>
          <w:bCs/>
          <w:sz w:val="32"/>
          <w:szCs w:val="32"/>
        </w:rPr>
        <w:t>全产业链条。加强上游原材料供应保障。</w:t>
      </w:r>
      <w:r>
        <w:rPr>
          <w:rFonts w:hint="eastAsia" w:ascii="Times New Roman" w:hAnsi="Times New Roman" w:eastAsia="仿宋_GB2312"/>
          <w:sz w:val="32"/>
          <w:szCs w:val="32"/>
          <w:lang w:val="zh-CN"/>
        </w:rPr>
        <w:t>推进中药材GAP基地建设，</w:t>
      </w:r>
      <w:r>
        <w:rPr>
          <w:rFonts w:hint="eastAsia" w:ascii="Times New Roman" w:hAnsi="Times New Roman" w:eastAsia="仿宋_GB2312"/>
          <w:sz w:val="32"/>
          <w:szCs w:val="32"/>
        </w:rPr>
        <w:t>以适应国家对新的GMP规范化生产的要求；促进化学原料药企业与化工产业形成联动，提高环境及安全风险应对能力。</w:t>
      </w:r>
      <w:r>
        <w:rPr>
          <w:rFonts w:hint="eastAsia" w:ascii="Times New Roman" w:hAnsi="Times New Roman" w:eastAsia="仿宋_GB2312"/>
          <w:b/>
          <w:bCs/>
          <w:sz w:val="32"/>
          <w:szCs w:val="32"/>
        </w:rPr>
        <w:t>加大国外新药品种的引入仿制和技术创新。</w:t>
      </w:r>
      <w:r>
        <w:rPr>
          <w:rFonts w:hint="eastAsia" w:ascii="Times New Roman" w:hAnsi="Times New Roman" w:eastAsia="仿宋_GB2312"/>
          <w:sz w:val="32"/>
          <w:szCs w:val="32"/>
        </w:rPr>
        <w:t>加快产品结构从以中间体、原料药制造为主向以制剂、成品药制造为主转变，发展植物药、农副产品活效因子和增强免疫力等保健品；支持中药及天然药物提取、分离、纯化、合成技术研发及产业化，推进杂质痕量控制及生产关键技术、高效催化合成新技术、手性诱导试剂研究、绿色合成新工艺等方面研究。</w:t>
      </w:r>
      <w:r>
        <w:rPr>
          <w:rFonts w:hint="eastAsia" w:ascii="Times New Roman" w:hAnsi="Times New Roman" w:eastAsia="仿宋_GB2312"/>
          <w:b/>
          <w:bCs/>
          <w:sz w:val="32"/>
          <w:szCs w:val="32"/>
        </w:rPr>
        <w:t>向生命健康下游延伸。</w:t>
      </w:r>
      <w:r>
        <w:rPr>
          <w:rFonts w:hint="eastAsia" w:ascii="Times New Roman" w:hAnsi="Times New Roman" w:eastAsia="仿宋_GB2312"/>
          <w:sz w:val="32"/>
          <w:szCs w:val="32"/>
        </w:rPr>
        <w:t>重点发展</w:t>
      </w:r>
      <w:r>
        <w:rPr>
          <w:rFonts w:hint="eastAsia" w:ascii="Times New Roman" w:hAnsi="Times New Roman" w:eastAsia="仿宋_GB2312"/>
          <w:sz w:val="32"/>
          <w:szCs w:val="32"/>
          <w:lang w:val="en-US" w:eastAsia="zh-CN"/>
        </w:rPr>
        <w:t>生命健康</w:t>
      </w:r>
      <w:r>
        <w:rPr>
          <w:rFonts w:hint="eastAsia" w:ascii="Times New Roman" w:hAnsi="Times New Roman" w:eastAsia="仿宋_GB2312"/>
          <w:sz w:val="32"/>
          <w:szCs w:val="32"/>
        </w:rPr>
        <w:t>衍生产业，如中药保健茶、功能性食品、保健饮品、食品添加剂等；大力发展现代医疗衍生产业，如医疗险、健康管理服务等。</w:t>
      </w:r>
      <w:r>
        <w:rPr>
          <w:rFonts w:hint="eastAsia" w:ascii="Times New Roman" w:hAnsi="Times New Roman" w:eastAsia="仿宋_GB2312"/>
          <w:b/>
          <w:bCs/>
          <w:sz w:val="32"/>
          <w:szCs w:val="32"/>
        </w:rPr>
        <w:t>完善医药流通体系。</w:t>
      </w:r>
      <w:r>
        <w:rPr>
          <w:rFonts w:hint="eastAsia" w:ascii="Times New Roman" w:hAnsi="Times New Roman" w:eastAsia="仿宋_GB2312"/>
          <w:sz w:val="32"/>
          <w:szCs w:val="32"/>
        </w:rPr>
        <w:t>着力培育华源医药等本土企业，引进一批优质药品流通企业，合理布局和延伸服务网络；支持开展医药电商等便捷服务；支持向供应链上下游提供市场开发、价格谈判、金融支持等增值服务和综合解决方案。</w:t>
      </w:r>
    </w:p>
    <w:p w14:paraId="0A8D2786">
      <w:pPr>
        <w:spacing w:line="600" w:lineRule="exact"/>
        <w:ind w:firstLine="643" w:firstLineChars="200"/>
        <w:rPr>
          <w:rFonts w:ascii="Times New Roman" w:hAnsi="Times New Roman" w:eastAsia="仿宋_GB2312"/>
          <w:sz w:val="32"/>
          <w:szCs w:val="32"/>
        </w:rPr>
      </w:pPr>
      <w:r>
        <w:rPr>
          <w:rFonts w:hint="eastAsia" w:ascii="Times New Roman" w:hAnsi="Times New Roman" w:eastAsia="仿宋_GB2312"/>
          <w:b/>
          <w:bCs/>
          <w:sz w:val="32"/>
          <w:szCs w:val="32"/>
        </w:rPr>
        <w:t>（</w:t>
      </w:r>
      <w:r>
        <w:rPr>
          <w:rFonts w:hint="eastAsia" w:ascii="Times New Roman" w:hAnsi="Times New Roman" w:eastAsia="仿宋_GB2312"/>
          <w:b/>
          <w:bCs/>
          <w:sz w:val="32"/>
          <w:szCs w:val="32"/>
          <w:lang w:val="en-US" w:eastAsia="zh-CN"/>
        </w:rPr>
        <w:t>2</w:t>
      </w:r>
      <w:r>
        <w:rPr>
          <w:rFonts w:hint="eastAsia" w:ascii="Times New Roman" w:hAnsi="Times New Roman" w:eastAsia="仿宋_GB2312"/>
          <w:b/>
          <w:bCs/>
          <w:sz w:val="32"/>
          <w:szCs w:val="32"/>
        </w:rPr>
        <w:t>）</w:t>
      </w:r>
      <w:r>
        <w:rPr>
          <w:rFonts w:hint="eastAsia" w:ascii="Times New Roman" w:hAnsi="Times New Roman" w:eastAsia="仿宋_GB2312"/>
          <w:b/>
          <w:bCs/>
          <w:sz w:val="32"/>
          <w:szCs w:val="32"/>
          <w:lang w:val="en-US" w:eastAsia="zh-CN"/>
        </w:rPr>
        <w:t>积极</w:t>
      </w:r>
      <w:r>
        <w:rPr>
          <w:rFonts w:hint="eastAsia" w:ascii="Times New Roman" w:hAnsi="Times New Roman" w:eastAsia="仿宋_GB2312"/>
          <w:b/>
          <w:bCs/>
          <w:sz w:val="32"/>
          <w:szCs w:val="32"/>
        </w:rPr>
        <w:t>推进生命健康产业</w:t>
      </w:r>
      <w:r>
        <w:rPr>
          <w:rFonts w:hint="eastAsia" w:ascii="Times New Roman" w:hAnsi="Times New Roman" w:eastAsia="仿宋_GB2312"/>
          <w:b/>
          <w:bCs/>
          <w:sz w:val="32"/>
          <w:szCs w:val="32"/>
          <w:lang w:val="en-US" w:eastAsia="zh-CN"/>
        </w:rPr>
        <w:t>高标对接</w:t>
      </w:r>
      <w:r>
        <w:rPr>
          <w:rFonts w:hint="eastAsia" w:ascii="Times New Roman" w:hAnsi="Times New Roman" w:eastAsia="仿宋_GB2312"/>
          <w:b/>
          <w:bCs/>
          <w:sz w:val="32"/>
          <w:szCs w:val="32"/>
        </w:rPr>
        <w:t>。注重招才引智。</w:t>
      </w:r>
      <w:r>
        <w:rPr>
          <w:rFonts w:hint="eastAsia" w:ascii="Times New Roman" w:hAnsi="Times New Roman" w:eastAsia="仿宋_GB2312"/>
          <w:sz w:val="32"/>
          <w:szCs w:val="32"/>
          <w:lang w:val="zh-CN"/>
        </w:rPr>
        <w:t>支持企业与</w:t>
      </w:r>
      <w:r>
        <w:rPr>
          <w:rFonts w:hint="eastAsia" w:ascii="Times New Roman" w:hAnsi="Times New Roman" w:eastAsia="仿宋_GB2312"/>
          <w:sz w:val="32"/>
          <w:szCs w:val="32"/>
        </w:rPr>
        <w:t>省内高校和长三角高校</w:t>
      </w:r>
      <w:r>
        <w:rPr>
          <w:rFonts w:hint="eastAsia" w:ascii="Times New Roman" w:hAnsi="Times New Roman" w:eastAsia="仿宋_GB2312"/>
          <w:sz w:val="32"/>
          <w:szCs w:val="32"/>
          <w:lang w:val="zh-CN"/>
        </w:rPr>
        <w:t>共建人才培养基地，推进专业化培训、订单式培养，强化职业教育和技能培训；</w:t>
      </w:r>
      <w:r>
        <w:rPr>
          <w:rFonts w:hint="eastAsia" w:ascii="Times New Roman" w:hAnsi="Times New Roman" w:eastAsia="仿宋_GB2312"/>
          <w:sz w:val="32"/>
          <w:szCs w:val="32"/>
        </w:rPr>
        <w:t>通过</w:t>
      </w:r>
      <w:r>
        <w:rPr>
          <w:rFonts w:hint="eastAsia" w:ascii="Times New Roman" w:hAnsi="Times New Roman" w:eastAsia="仿宋_GB2312"/>
          <w:sz w:val="32"/>
          <w:szCs w:val="32"/>
          <w:lang w:val="zh-CN"/>
        </w:rPr>
        <w:t>链接高端人才、高端团队</w:t>
      </w:r>
      <w:r>
        <w:rPr>
          <w:rFonts w:hint="eastAsia" w:ascii="Times New Roman" w:hAnsi="Times New Roman" w:eastAsia="仿宋_GB2312"/>
          <w:sz w:val="32"/>
          <w:szCs w:val="32"/>
        </w:rPr>
        <w:t>和</w:t>
      </w:r>
      <w:r>
        <w:rPr>
          <w:rFonts w:hint="eastAsia" w:ascii="Times New Roman" w:hAnsi="Times New Roman" w:eastAsia="仿宋_GB2312"/>
          <w:sz w:val="32"/>
          <w:szCs w:val="32"/>
          <w:lang w:val="zh-CN"/>
        </w:rPr>
        <w:t>高端项目，</w:t>
      </w:r>
      <w:r>
        <w:rPr>
          <w:rFonts w:hint="eastAsia" w:ascii="Times New Roman" w:hAnsi="Times New Roman" w:eastAsia="仿宋_GB2312"/>
          <w:sz w:val="32"/>
          <w:szCs w:val="32"/>
        </w:rPr>
        <w:t>发挥</w:t>
      </w:r>
      <w:r>
        <w:rPr>
          <w:rFonts w:hint="eastAsia" w:ascii="Times New Roman" w:hAnsi="Times New Roman" w:eastAsia="仿宋_GB2312"/>
          <w:sz w:val="32"/>
          <w:szCs w:val="32"/>
          <w:lang w:val="zh-CN"/>
        </w:rPr>
        <w:t>吸附效应，形成强大的创新项目引流能力；</w:t>
      </w:r>
      <w:r>
        <w:rPr>
          <w:rFonts w:hint="eastAsia" w:ascii="Times New Roman" w:hAnsi="Times New Roman" w:eastAsia="仿宋_GB2312"/>
          <w:sz w:val="32"/>
          <w:szCs w:val="32"/>
        </w:rPr>
        <w:t>鼓励医药企业建立健全人才、专利、技能等要素参与收益分配机制和股权激励机制，做好人才服务保障工作。</w:t>
      </w:r>
      <w:r>
        <w:rPr>
          <w:rFonts w:hint="eastAsia" w:ascii="Times New Roman" w:hAnsi="Times New Roman" w:eastAsia="仿宋_GB2312"/>
          <w:b/>
          <w:bCs/>
          <w:sz w:val="32"/>
          <w:szCs w:val="32"/>
        </w:rPr>
        <w:t>强化区域合作平台建设。</w:t>
      </w:r>
      <w:r>
        <w:rPr>
          <w:rFonts w:hint="eastAsia" w:ascii="Times New Roman" w:hAnsi="Times New Roman" w:eastAsia="仿宋_GB2312"/>
          <w:sz w:val="32"/>
          <w:szCs w:val="32"/>
        </w:rPr>
        <w:t>依托贝克制药抗病毒药物实验室、博士后工作站等，</w:t>
      </w:r>
      <w:r>
        <w:rPr>
          <w:rFonts w:hint="eastAsia" w:ascii="Times New Roman" w:hAnsi="Times New Roman" w:eastAsia="仿宋_GB2312"/>
          <w:sz w:val="32"/>
          <w:szCs w:val="32"/>
          <w:lang w:val="zh-CN"/>
        </w:rPr>
        <w:t>深化与</w:t>
      </w:r>
      <w:r>
        <w:rPr>
          <w:rFonts w:hint="eastAsia" w:ascii="Times New Roman" w:hAnsi="Times New Roman" w:eastAsia="仿宋_GB2312"/>
          <w:sz w:val="32"/>
          <w:szCs w:val="32"/>
        </w:rPr>
        <w:t>行业领军企业</w:t>
      </w:r>
      <w:r>
        <w:rPr>
          <w:rFonts w:hint="eastAsia" w:ascii="Times New Roman" w:hAnsi="Times New Roman" w:eastAsia="仿宋_GB2312"/>
          <w:sz w:val="32"/>
          <w:szCs w:val="32"/>
          <w:lang w:val="zh-CN"/>
        </w:rPr>
        <w:t>建立战略合作伙伴关系，</w:t>
      </w:r>
      <w:r>
        <w:rPr>
          <w:rFonts w:hint="eastAsia" w:ascii="Times New Roman" w:hAnsi="Times New Roman" w:eastAsia="仿宋_GB2312"/>
          <w:sz w:val="32"/>
          <w:szCs w:val="32"/>
        </w:rPr>
        <w:t>在新药研发信息整合与应用、医药专利信息服务、药品检验检测和实验动物供应等领域共建合作平台。依托太和生物医药谷，加快医药企业孵化器建设；依托中印国际医药产业合作试验区建设，不断深化中印两国医药产业在技术、品种、企业、制造、营销等方面的全方位合作；依托特色原料药产业基地建设，积极引进高端仿制药，打造化学制剂生产总部、仿制药生产集聚地。</w:t>
      </w:r>
      <w:r>
        <w:rPr>
          <w:rFonts w:hint="eastAsia" w:ascii="Times New Roman" w:hAnsi="Times New Roman" w:eastAsia="仿宋_GB2312"/>
          <w:b/>
          <w:bCs/>
          <w:sz w:val="32"/>
          <w:szCs w:val="32"/>
        </w:rPr>
        <w:t>加速异地成果本地转化。</w:t>
      </w:r>
      <w:r>
        <w:rPr>
          <w:rFonts w:hint="eastAsia" w:ascii="Times New Roman" w:hAnsi="Times New Roman" w:eastAsia="仿宋_GB2312"/>
          <w:sz w:val="32"/>
          <w:szCs w:val="32"/>
        </w:rPr>
        <w:t>由政府引导，主动对接</w:t>
      </w:r>
      <w:r>
        <w:rPr>
          <w:rFonts w:ascii="Times New Roman" w:hAnsi="Times New Roman" w:eastAsia="仿宋_GB2312"/>
          <w:sz w:val="32"/>
          <w:szCs w:val="32"/>
        </w:rPr>
        <w:t>“G60</w:t>
      </w:r>
      <w:r>
        <w:rPr>
          <w:rFonts w:hint="eastAsia" w:ascii="Times New Roman" w:hAnsi="Times New Roman" w:eastAsia="仿宋_GB2312"/>
          <w:sz w:val="32"/>
          <w:szCs w:val="32"/>
        </w:rPr>
        <w:t>科创走廊</w:t>
      </w:r>
      <w:r>
        <w:rPr>
          <w:rFonts w:ascii="Times New Roman" w:hAnsi="Times New Roman" w:eastAsia="仿宋_GB2312"/>
          <w:sz w:val="32"/>
          <w:szCs w:val="32"/>
        </w:rPr>
        <w:t>”</w:t>
      </w:r>
      <w:r>
        <w:rPr>
          <w:rFonts w:hint="eastAsia" w:ascii="Times New Roman" w:hAnsi="Times New Roman" w:eastAsia="仿宋_GB2312"/>
          <w:sz w:val="32"/>
          <w:szCs w:val="32"/>
        </w:rPr>
        <w:t>，鼓励贝克制药、一帆香料、德信佳生物医药等龙头企业加强与上海张江、江苏泰州等长三角生物医药产业集聚区的合作，获取新产品、关键技术、生产许可和销售渠道，培育一批以关键企业为主体的产业技术创新联盟，鼓励技术转移机构创新服务模式，以技术奖励、技术入股等方式推动科技成果转化。</w:t>
      </w:r>
    </w:p>
    <w:p w14:paraId="3D59C8BE">
      <w:pPr>
        <w:spacing w:line="600" w:lineRule="exact"/>
        <w:ind w:firstLine="643" w:firstLineChars="200"/>
        <w:rPr>
          <w:rFonts w:ascii="Times New Roman" w:hAnsi="Times New Roman" w:eastAsia="仿宋_GB2312"/>
          <w:sz w:val="32"/>
          <w:szCs w:val="32"/>
        </w:rPr>
      </w:pPr>
      <w:r>
        <w:rPr>
          <w:rFonts w:hint="eastAsia" w:ascii="Times New Roman" w:hAnsi="Times New Roman" w:eastAsia="仿宋_GB2312"/>
          <w:b/>
          <w:bCs/>
          <w:sz w:val="32"/>
          <w:szCs w:val="32"/>
        </w:rPr>
        <w:t>（</w:t>
      </w:r>
      <w:r>
        <w:rPr>
          <w:rFonts w:hint="eastAsia" w:ascii="Times New Roman" w:hAnsi="Times New Roman" w:eastAsia="仿宋_GB2312"/>
          <w:b/>
          <w:bCs/>
          <w:sz w:val="32"/>
          <w:szCs w:val="32"/>
          <w:lang w:val="en-US" w:eastAsia="zh-CN"/>
        </w:rPr>
        <w:t>3</w:t>
      </w:r>
      <w:r>
        <w:rPr>
          <w:rFonts w:hint="eastAsia" w:ascii="Times New Roman" w:hAnsi="Times New Roman" w:eastAsia="仿宋_GB2312"/>
          <w:b/>
          <w:bCs/>
          <w:sz w:val="32"/>
          <w:szCs w:val="32"/>
        </w:rPr>
        <w:t>）</w:t>
      </w:r>
      <w:r>
        <w:rPr>
          <w:rFonts w:hint="eastAsia" w:ascii="Times New Roman" w:hAnsi="Times New Roman" w:eastAsia="仿宋_GB2312"/>
          <w:b/>
          <w:bCs/>
          <w:sz w:val="32"/>
          <w:szCs w:val="32"/>
          <w:lang w:val="en-US" w:eastAsia="zh-CN"/>
        </w:rPr>
        <w:t>提升生命健康</w:t>
      </w:r>
      <w:r>
        <w:rPr>
          <w:rFonts w:hint="eastAsia" w:ascii="Times New Roman" w:hAnsi="Times New Roman" w:eastAsia="仿宋_GB2312"/>
          <w:b/>
          <w:bCs/>
          <w:sz w:val="32"/>
          <w:szCs w:val="32"/>
        </w:rPr>
        <w:t>产业配套服务。建设检测平台。</w:t>
      </w:r>
      <w:r>
        <w:rPr>
          <w:rFonts w:hint="eastAsia" w:ascii="Times New Roman" w:hAnsi="Times New Roman" w:eastAsia="仿宋_GB2312"/>
          <w:sz w:val="32"/>
          <w:szCs w:val="32"/>
        </w:rPr>
        <w:t>推动德信佳皖北医药原料检测公共技术服务平台建设，满足阜阳现代医药产业基地及皖北地区周边县市医药行业原料药检测技术服务需求。支持建设一批高水平的成药性研究、非临床安全性评价研究机构、合同研究组织、药物中试等科技公共服务平台。</w:t>
      </w:r>
      <w:r>
        <w:rPr>
          <w:rFonts w:hint="eastAsia" w:ascii="Times New Roman" w:hAnsi="Times New Roman" w:eastAsia="仿宋_GB2312"/>
          <w:b/>
          <w:bCs/>
          <w:sz w:val="32"/>
          <w:szCs w:val="32"/>
        </w:rPr>
        <w:t>加强开发环保塑料医药包装设计。</w:t>
      </w:r>
      <w:r>
        <w:rPr>
          <w:rFonts w:hint="eastAsia" w:ascii="Times New Roman" w:hAnsi="Times New Roman" w:eastAsia="仿宋_GB2312"/>
          <w:sz w:val="32"/>
          <w:szCs w:val="32"/>
        </w:rPr>
        <w:t>按照方便、安全，绿色的要求，开发环保塑料医药包装材料、PE、</w:t>
      </w:r>
      <w:r>
        <w:rPr>
          <w:rFonts w:ascii="Times New Roman" w:hAnsi="Times New Roman" w:eastAsia="仿宋_GB2312"/>
          <w:sz w:val="32"/>
          <w:szCs w:val="32"/>
        </w:rPr>
        <w:t>PP</w:t>
      </w:r>
      <w:r>
        <w:rPr>
          <w:rFonts w:hint="eastAsia" w:ascii="Times New Roman" w:hAnsi="Times New Roman" w:eastAsia="仿宋_GB2312"/>
          <w:sz w:val="32"/>
          <w:szCs w:val="32"/>
        </w:rPr>
        <w:t>医药包材和胶囊用明胶等辅助包材，加强防伪包装解决方案设计。</w:t>
      </w:r>
      <w:r>
        <w:rPr>
          <w:rFonts w:hint="eastAsia" w:ascii="Times New Roman" w:hAnsi="Times New Roman" w:eastAsia="仿宋_GB2312"/>
          <w:b/>
          <w:bCs/>
          <w:sz w:val="32"/>
          <w:szCs w:val="32"/>
        </w:rPr>
        <w:t>建立完善现代医疗和医药产业标准体系。</w:t>
      </w:r>
      <w:r>
        <w:rPr>
          <w:rFonts w:hint="eastAsia" w:ascii="Times New Roman" w:hAnsi="Times New Roman" w:eastAsia="仿宋_GB2312"/>
          <w:sz w:val="32"/>
          <w:szCs w:val="32"/>
        </w:rPr>
        <w:t>鼓励开展</w:t>
      </w:r>
      <w:r>
        <w:rPr>
          <w:rFonts w:hint="eastAsia" w:ascii="Times New Roman" w:hAnsi="Times New Roman" w:eastAsia="仿宋_GB2312"/>
          <w:sz w:val="32"/>
          <w:szCs w:val="32"/>
          <w:lang w:val="en-US" w:eastAsia="zh-CN"/>
        </w:rPr>
        <w:t>生命健康</w:t>
      </w:r>
      <w:r>
        <w:rPr>
          <w:rFonts w:hint="eastAsia" w:ascii="Times New Roman" w:hAnsi="Times New Roman" w:eastAsia="仿宋_GB2312"/>
          <w:sz w:val="32"/>
          <w:szCs w:val="32"/>
        </w:rPr>
        <w:t>各细分行业的标准制（修）订工作，重点提高抗肿瘤、艾滋药、药用辅料和包装材料的质量标准。鼓励医药企业开展仿制药一致性评价。</w:t>
      </w:r>
    </w:p>
    <w:p w14:paraId="2FB1F2B8">
      <w:pPr>
        <w:spacing w:line="600" w:lineRule="exact"/>
        <w:ind w:firstLine="643" w:firstLineChars="200"/>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lang w:val="en-US" w:eastAsia="zh-CN"/>
        </w:rPr>
        <w:t>4</w:t>
      </w:r>
      <w:r>
        <w:rPr>
          <w:rFonts w:hint="eastAsia" w:ascii="仿宋_GB2312" w:hAnsi="仿宋_GB2312" w:eastAsia="仿宋_GB2312" w:cs="仿宋_GB2312"/>
          <w:b/>
          <w:sz w:val="32"/>
          <w:szCs w:val="32"/>
        </w:rPr>
        <w:t>.发展重点</w:t>
      </w:r>
    </w:p>
    <w:p w14:paraId="428476A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（1）重点发展</w:t>
      </w:r>
    </w:p>
    <w:p w14:paraId="68FA6E63">
      <w:pPr>
        <w:spacing w:line="600" w:lineRule="exact"/>
        <w:ind w:firstLine="643" w:firstLineChars="200"/>
        <w:rPr>
          <w:rFonts w:ascii="Times New Roman" w:hAnsi="Times New Roman" w:eastAsia="仿宋_GB2312"/>
          <w:sz w:val="32"/>
          <w:szCs w:val="32"/>
          <w:lang w:val="zh-CN"/>
        </w:rPr>
      </w:pPr>
      <w:r>
        <w:rPr>
          <w:rFonts w:hint="eastAsia" w:ascii="Times New Roman" w:hAnsi="Times New Roman" w:eastAsia="仿宋_GB2312"/>
          <w:b/>
          <w:bCs/>
          <w:sz w:val="32"/>
          <w:szCs w:val="32"/>
        </w:rPr>
        <w:t>化学原料药。</w:t>
      </w:r>
      <w:r>
        <w:rPr>
          <w:rFonts w:hint="eastAsia" w:ascii="Times New Roman" w:hAnsi="Times New Roman" w:eastAsia="仿宋_GB2312"/>
          <w:sz w:val="32"/>
          <w:szCs w:val="32"/>
        </w:rPr>
        <w:t>依托医药原料集群优势，积极延伸产业链，</w:t>
      </w:r>
      <w:r>
        <w:rPr>
          <w:rFonts w:hint="eastAsia" w:ascii="Times New Roman" w:hAnsi="Times New Roman" w:eastAsia="仿宋_GB2312"/>
          <w:sz w:val="32"/>
          <w:szCs w:val="32"/>
          <w:lang w:val="en-US" w:eastAsia="zh-CN"/>
        </w:rPr>
        <w:t>加快发展</w:t>
      </w:r>
      <w:r>
        <w:rPr>
          <w:rFonts w:hint="eastAsia" w:ascii="Times New Roman" w:hAnsi="Times New Roman" w:eastAsia="仿宋_GB2312"/>
          <w:sz w:val="32"/>
          <w:szCs w:val="32"/>
        </w:rPr>
        <w:t>成品药。</w:t>
      </w:r>
      <w:r>
        <w:rPr>
          <w:rFonts w:hint="eastAsia" w:ascii="Times New Roman" w:hAnsi="Times New Roman" w:eastAsia="仿宋_GB2312"/>
          <w:sz w:val="32"/>
          <w:szCs w:val="32"/>
          <w:lang w:val="en-US" w:eastAsia="zh-CN"/>
        </w:rPr>
        <w:t>促进</w:t>
      </w:r>
      <w:r>
        <w:rPr>
          <w:rFonts w:hint="eastAsia" w:ascii="Times New Roman" w:hAnsi="Times New Roman" w:eastAsia="仿宋_GB2312"/>
          <w:sz w:val="32"/>
          <w:szCs w:val="32"/>
        </w:rPr>
        <w:t>印度化学仿制药企业开展欧美发达国家药物注册，加强配套关键药物中间体和高端原料药的研发与制造，突破高附加值化学药物剂型改造技术，提高通用名药物研发效率和质量，加大药用先导化合物库的研究力度。依托贝克制药、悦康药业、德信佳、</w:t>
      </w:r>
      <w:r>
        <w:rPr>
          <w:rFonts w:hint="eastAsia" w:ascii="Times New Roman" w:hAnsi="Times New Roman" w:eastAsia="仿宋_GB2312"/>
          <w:sz w:val="32"/>
          <w:szCs w:val="32"/>
          <w:lang w:val="en-US" w:eastAsia="zh-CN"/>
        </w:rPr>
        <w:t>银丰药业</w:t>
      </w:r>
      <w:r>
        <w:rPr>
          <w:rFonts w:hint="eastAsia" w:ascii="Times New Roman" w:hAnsi="Times New Roman" w:eastAsia="仿宋_GB2312"/>
          <w:sz w:val="32"/>
          <w:szCs w:val="32"/>
        </w:rPr>
        <w:t>等龙头企业，重点发展抗乙肝、抗艾滋病、合成哮喘类、天然维生素、薄荷脑等原料药。加强杂质痕量控制技术、高效催化合成新技术、绿色合成新工艺等方面研究。培育无菌等技术特色的医药原料，配套未来制剂产品需求。探索发展玻尿酸、肉毒素、胶原蛋白、果酸等医美原料</w:t>
      </w:r>
      <w:r>
        <w:rPr>
          <w:rFonts w:hint="eastAsia" w:ascii="Times New Roman" w:hAnsi="Times New Roman" w:eastAsia="仿宋_GB2312"/>
          <w:sz w:val="32"/>
          <w:szCs w:val="32"/>
          <w:lang w:val="zh-CN"/>
        </w:rPr>
        <w:t>。</w:t>
      </w:r>
    </w:p>
    <w:p w14:paraId="0CC3CD2A">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（2）大力发展</w:t>
      </w:r>
    </w:p>
    <w:p w14:paraId="45FB4502">
      <w:pPr>
        <w:spacing w:line="600" w:lineRule="exact"/>
        <w:ind w:firstLine="643" w:firstLineChars="200"/>
        <w:rPr>
          <w:rFonts w:ascii="Times New Roman" w:hAnsi="Times New Roman" w:eastAsia="仿宋_GB2312"/>
          <w:sz w:val="32"/>
          <w:szCs w:val="32"/>
        </w:rPr>
      </w:pPr>
      <w:r>
        <w:rPr>
          <w:rFonts w:hint="eastAsia" w:ascii="Times New Roman" w:hAnsi="Times New Roman" w:eastAsia="仿宋_GB2312"/>
          <w:b/>
          <w:bCs/>
          <w:sz w:val="32"/>
          <w:szCs w:val="32"/>
        </w:rPr>
        <w:t>中药。</w:t>
      </w:r>
      <w:r>
        <w:rPr>
          <w:rFonts w:hint="eastAsia" w:ascii="Times New Roman" w:hAnsi="Times New Roman" w:eastAsia="仿宋_GB2312"/>
          <w:sz w:val="32"/>
          <w:szCs w:val="32"/>
        </w:rPr>
        <w:t>建立中药资源保护体系，加强太和县李兴桔梗“十大皖药”基地规模化种植水平；统筹推动桔梗、薄荷、药菊、牡丹、穿心莲等中药材规模化、绿色化、规范化种植，探索野生药材规模化人工种植。依托</w:t>
      </w:r>
      <w:r>
        <w:rPr>
          <w:rFonts w:hint="eastAsia" w:ascii="Times New Roman" w:hAnsi="Times New Roman" w:eastAsia="仿宋_GB2312"/>
          <w:sz w:val="32"/>
          <w:lang w:eastAsia="zh-CN"/>
        </w:rPr>
        <w:t>悦康天然制药</w:t>
      </w:r>
      <w:r>
        <w:rPr>
          <w:rFonts w:hint="eastAsia" w:ascii="Times New Roman" w:hAnsi="Times New Roman" w:eastAsia="仿宋_GB2312"/>
          <w:sz w:val="32"/>
        </w:rPr>
        <w:t>、万生中药饮片</w:t>
      </w:r>
      <w:r>
        <w:rPr>
          <w:rFonts w:hint="eastAsia" w:ascii="Times New Roman" w:hAnsi="Times New Roman" w:eastAsia="仿宋_GB2312"/>
          <w:sz w:val="32"/>
          <w:lang w:eastAsia="zh-CN"/>
        </w:rPr>
        <w:t>、</w:t>
      </w:r>
      <w:r>
        <w:rPr>
          <w:rFonts w:hint="eastAsia" w:ascii="Times New Roman" w:hAnsi="Times New Roman" w:eastAsia="仿宋_GB2312"/>
          <w:sz w:val="32"/>
        </w:rPr>
        <w:t>致鑫中药</w:t>
      </w:r>
      <w:r>
        <w:rPr>
          <w:rFonts w:hint="eastAsia" w:ascii="Times New Roman" w:hAnsi="Times New Roman" w:eastAsia="仿宋_GB2312"/>
          <w:sz w:val="32"/>
          <w:szCs w:val="32"/>
        </w:rPr>
        <w:t>等龙头企业，</w:t>
      </w:r>
      <w:r>
        <w:rPr>
          <w:rFonts w:hint="eastAsia" w:ascii="Times New Roman" w:hAnsi="Times New Roman" w:eastAsia="仿宋_GB2312"/>
          <w:sz w:val="32"/>
          <w:szCs w:val="32"/>
          <w:lang w:val="zh-CN"/>
        </w:rPr>
        <w:t>重点发展中药饮片、</w:t>
      </w:r>
      <w:r>
        <w:rPr>
          <w:rFonts w:hint="eastAsia" w:ascii="Times New Roman" w:hAnsi="Times New Roman" w:eastAsia="仿宋_GB2312"/>
          <w:sz w:val="32"/>
          <w:szCs w:val="32"/>
        </w:rPr>
        <w:t>直接口服饮片、</w:t>
      </w:r>
      <w:r>
        <w:rPr>
          <w:rFonts w:hint="eastAsia" w:ascii="Times New Roman" w:hAnsi="Times New Roman" w:eastAsia="仿宋_GB2312"/>
          <w:sz w:val="32"/>
          <w:szCs w:val="32"/>
          <w:lang w:val="zh-CN"/>
        </w:rPr>
        <w:t>中成复方药和中药创新药</w:t>
      </w:r>
      <w:r>
        <w:rPr>
          <w:rFonts w:hint="eastAsia" w:ascii="Times New Roman" w:hAnsi="Times New Roman" w:eastAsia="仿宋_GB2312"/>
          <w:sz w:val="32"/>
          <w:szCs w:val="32"/>
        </w:rPr>
        <w:t>等产品。依托金马药业、金牛药械、金泰医疗器械、众康药业等企业，支持发展中药贴剂。积极挖掘经典名方和名老中医经验方开发中成药新品种，</w:t>
      </w:r>
      <w:r>
        <w:rPr>
          <w:rFonts w:hint="eastAsia" w:ascii="Times New Roman" w:hAnsi="Times New Roman" w:eastAsia="仿宋_GB2312"/>
          <w:sz w:val="32"/>
          <w:szCs w:val="32"/>
          <w:lang w:val="zh-CN"/>
        </w:rPr>
        <w:t>加速特色重要饮片、经典名方的开发以及名优品种的二次开发和应用。</w:t>
      </w:r>
      <w:r>
        <w:rPr>
          <w:rFonts w:hint="eastAsia" w:ascii="Times New Roman" w:hAnsi="Times New Roman" w:eastAsia="仿宋_GB2312"/>
          <w:sz w:val="32"/>
          <w:szCs w:val="32"/>
        </w:rPr>
        <w:t>打造集中药材“种植——仓储——初加工——深加工——运输——销售”的全产业链。研制用于治疗免疫功能性疾病、慢性疾病和老年性疾病的中成药及制剂、中药饮片、中药颗粒剂、片剂等领域新产品。发展香药、针灸、熏蒸、药膳等中医药适宜技术，向食品、保健品、含茶制品、饮料等药食同源类产品延伸发展。</w:t>
      </w:r>
    </w:p>
    <w:p w14:paraId="3F1ADB50">
      <w:pPr>
        <w:widowControl/>
        <w:spacing w:line="600" w:lineRule="exact"/>
        <w:ind w:firstLine="643" w:firstLineChars="200"/>
        <w:jc w:val="left"/>
        <w:rPr>
          <w:rFonts w:ascii="仿宋_GB2312" w:hAnsi="仿宋_GB2312" w:eastAsia="仿宋_GB2312" w:cs="仿宋_GB2312"/>
          <w:color w:val="000000"/>
          <w:kern w:val="0"/>
          <w:sz w:val="32"/>
          <w:szCs w:val="32"/>
          <w:lang w:bidi="ar"/>
        </w:rPr>
      </w:pPr>
      <w:r>
        <w:rPr>
          <w:rFonts w:hint="eastAsia" w:ascii="Times New Roman" w:hAnsi="Times New Roman" w:eastAsia="仿宋_GB2312"/>
          <w:b/>
          <w:bCs/>
          <w:sz w:val="32"/>
          <w:szCs w:val="32"/>
        </w:rPr>
        <w:t>成品药。</w:t>
      </w:r>
      <w:r>
        <w:rPr>
          <w:rFonts w:hint="eastAsia" w:ascii="Times New Roman" w:hAnsi="Times New Roman" w:eastAsia="仿宋_GB2312"/>
          <w:sz w:val="32"/>
          <w:szCs w:val="32"/>
        </w:rPr>
        <w:t>依托华源、锦辉制药、联谊药业、硕佰制药、拜善晟制药、仁济制药等企业，重点发展抗生素类、抗病毒类、抗结核类、抗过敏类、心脑血管类、抗风湿解热镇痛类、抗肿瘤药、呼吸系统疾病治疗药物，包括阿莫西林胶囊、头孢氨苄胶囊、卡托普利片、氨咖黄敏胶囊、米诺地尔、格列齐特缓释片、散寒感冒胶囊、克磷霉素磷酸酯注射液、葛根素注射液等产品。</w:t>
      </w:r>
      <w:r>
        <w:rPr>
          <w:rFonts w:hint="eastAsia" w:ascii="仿宋_GB2312" w:hAnsi="仿宋_GB2312" w:eastAsia="仿宋_GB2312" w:cs="仿宋_GB2312"/>
          <w:color w:val="000000"/>
          <w:kern w:val="0"/>
          <w:sz w:val="32"/>
          <w:szCs w:val="32"/>
          <w:lang w:val="en-US" w:eastAsia="zh-CN" w:bidi="ar"/>
        </w:rPr>
        <w:t>大力</w:t>
      </w:r>
      <w:r>
        <w:rPr>
          <w:rFonts w:hint="eastAsia" w:ascii="仿宋_GB2312" w:hAnsi="仿宋_GB2312" w:eastAsia="仿宋_GB2312" w:cs="仿宋_GB2312"/>
          <w:color w:val="000000"/>
          <w:kern w:val="0"/>
          <w:sz w:val="32"/>
          <w:szCs w:val="32"/>
          <w:lang w:bidi="ar"/>
        </w:rPr>
        <w:t>发展高端仿制药，加快临床急需、新专利到期、市场潜力大的仿制药开发，提高仿制药质量水平。大力推动仿制药质量和疗效一致性评价工作。</w:t>
      </w:r>
      <w:r>
        <w:rPr>
          <w:rFonts w:hint="eastAsia" w:ascii="Times New Roman" w:hAnsi="Times New Roman" w:eastAsia="仿宋_GB2312"/>
          <w:sz w:val="32"/>
          <w:szCs w:val="32"/>
        </w:rPr>
        <w:t>推动抗糖尿病类、抗肿瘤、抗乙肝病毒等仿制药的临床试验及产业化生产，推动多发性疾病和儿童用药等领域药物研发，</w:t>
      </w:r>
      <w:r>
        <w:rPr>
          <w:rFonts w:hint="eastAsia" w:ascii="仿宋_GB2312" w:hAnsi="仿宋_GB2312" w:eastAsia="仿宋_GB2312" w:cs="仿宋_GB2312"/>
          <w:color w:val="000000"/>
          <w:kern w:val="0"/>
          <w:sz w:val="32"/>
          <w:szCs w:val="32"/>
          <w:lang w:bidi="ar"/>
        </w:rPr>
        <w:t>加快品牌仿制药物和原研药国际注册认证。</w:t>
      </w:r>
    </w:p>
    <w:p w14:paraId="208C2651">
      <w:pPr>
        <w:pStyle w:val="14"/>
        <w:spacing w:after="0" w:line="600" w:lineRule="exact"/>
        <w:ind w:left="0" w:leftChars="0" w:firstLine="640"/>
        <w:rPr>
          <w:rFonts w:ascii="仿宋_GB2312" w:hAnsi="仿宋_GB2312" w:cs="仿宋_GB2312"/>
          <w:szCs w:val="32"/>
        </w:rPr>
      </w:pPr>
      <w:r>
        <w:rPr>
          <w:rFonts w:hint="eastAsia" w:ascii="仿宋_GB2312" w:hAnsi="仿宋_GB2312" w:cs="仿宋_GB2312"/>
          <w:szCs w:val="32"/>
        </w:rPr>
        <w:t>（3）培育发展</w:t>
      </w:r>
    </w:p>
    <w:p w14:paraId="65DA861F">
      <w:pPr>
        <w:spacing w:line="600" w:lineRule="exact"/>
        <w:ind w:firstLine="643" w:firstLineChars="200"/>
      </w:pPr>
      <w:r>
        <w:rPr>
          <w:rFonts w:hint="eastAsia" w:ascii="Times New Roman" w:hAnsi="Times New Roman" w:eastAsia="仿宋_GB2312"/>
          <w:b/>
          <w:bCs/>
          <w:sz w:val="32"/>
          <w:szCs w:val="32"/>
        </w:rPr>
        <w:t>生物制药。</w:t>
      </w:r>
      <w:r>
        <w:rPr>
          <w:rFonts w:hint="eastAsia" w:ascii="Times New Roman" w:hAnsi="Times New Roman" w:eastAsia="仿宋_GB2312"/>
          <w:sz w:val="32"/>
          <w:szCs w:val="32"/>
        </w:rPr>
        <w:t>依托恒顺信息科技、悦康药业、新天生物科技、徽科生物等企业，重点发展多杀菌素、伊维菌素、7-ACA、酵素等产品。重点培育开发针对肿瘤、免疫系统疾病、心血管疾病和感染性疾病的抗体药物。针对糖尿病、病毒感染、肿瘤等疾病，开发免疫原性低、稳定性好、靶向性强、长效、生物利用度高的重组蛋白质药物。</w:t>
      </w:r>
      <w:r>
        <w:rPr>
          <w:rFonts w:ascii="仿宋_GB2312" w:hAnsi="宋体" w:eastAsia="仿宋_GB2312" w:cs="仿宋_GB2312"/>
          <w:color w:val="000000"/>
          <w:kern w:val="0"/>
          <w:sz w:val="32"/>
          <w:szCs w:val="32"/>
          <w:lang w:bidi="ar"/>
        </w:rPr>
        <w:t>重点发展</w:t>
      </w:r>
      <w:r>
        <w:rPr>
          <w:rFonts w:hint="eastAsia" w:ascii="仿宋_GB2312" w:hAnsi="宋体" w:eastAsia="仿宋_GB2312" w:cs="仿宋_GB2312"/>
          <w:color w:val="000000"/>
          <w:kern w:val="0"/>
          <w:sz w:val="32"/>
          <w:szCs w:val="32"/>
          <w:lang w:bidi="ar"/>
        </w:rPr>
        <w:t>重组蛋白质长效制剂技术，基于细胞基质的大规模流感疫苗高产技术，细胞治疗产品制备技术，重组人白蛋白的大规模表达和纯化技术，极微量杂质的分析检测技术。建立与长三角先进水平接轨的质量控制技术。</w:t>
      </w:r>
    </w:p>
    <w:p w14:paraId="7E670BA9">
      <w:pPr>
        <w:spacing w:line="600" w:lineRule="exact"/>
        <w:ind w:firstLine="643" w:firstLineChars="200"/>
        <w:rPr>
          <w:rFonts w:ascii="Times New Roman" w:hAnsi="Times New Roman" w:eastAsia="仿宋_GB2312"/>
          <w:sz w:val="32"/>
          <w:szCs w:val="32"/>
          <w:lang w:val="zh-CN"/>
        </w:rPr>
      </w:pPr>
      <w:r>
        <w:rPr>
          <w:rFonts w:hint="eastAsia" w:ascii="Times New Roman" w:hAnsi="Times New Roman" w:eastAsia="仿宋_GB2312"/>
          <w:b/>
          <w:bCs/>
          <w:sz w:val="32"/>
          <w:szCs w:val="32"/>
        </w:rPr>
        <w:t>医药保健</w:t>
      </w:r>
      <w:r>
        <w:rPr>
          <w:rFonts w:hint="eastAsia" w:ascii="Times New Roman" w:hAnsi="Times New Roman" w:eastAsia="仿宋_GB2312"/>
          <w:b/>
          <w:bCs/>
          <w:sz w:val="32"/>
          <w:szCs w:val="32"/>
          <w:lang w:val="zh-CN"/>
        </w:rPr>
        <w:t>。</w:t>
      </w:r>
      <w:r>
        <w:rPr>
          <w:rFonts w:hint="eastAsia" w:ascii="Times New Roman" w:hAnsi="Times New Roman" w:eastAsia="仿宋_GB2312"/>
          <w:sz w:val="32"/>
          <w:szCs w:val="32"/>
        </w:rPr>
        <w:t>立足现有产业基础，依托界首华信生物、芬格欣生物、弘腾药业等龙头企业，</w:t>
      </w:r>
      <w:r>
        <w:rPr>
          <w:rFonts w:hint="eastAsia" w:ascii="Times New Roman" w:hAnsi="Times New Roman" w:eastAsia="仿宋_GB2312"/>
          <w:sz w:val="32"/>
          <w:szCs w:val="32"/>
          <w:lang w:val="zh-CN"/>
        </w:rPr>
        <w:t>加大对特色、天然、药食同源的胡萝卜、大豆、茶叶、生姜等农副产品的开发力度，着力提取花青素、类胡萝卜素、异黄酮等抗氧化物质。重点发展植物药保健品、农副产品活效因子、功能性复合调味品、增强免疫力保健品等产品，发展医疗保健服务。</w:t>
      </w:r>
    </w:p>
    <w:p w14:paraId="41C4B265">
      <w:pPr>
        <w:spacing w:line="600" w:lineRule="exact"/>
        <w:ind w:firstLine="643" w:firstLineChars="200"/>
        <w:rPr>
          <w:rFonts w:ascii="Times New Roman" w:hAnsi="Times New Roman" w:eastAsia="仿宋_GB2312"/>
          <w:sz w:val="32"/>
          <w:szCs w:val="32"/>
        </w:rPr>
      </w:pPr>
      <w:r>
        <w:rPr>
          <w:rFonts w:hint="eastAsia" w:ascii="Times New Roman" w:hAnsi="Times New Roman" w:eastAsia="仿宋_GB2312"/>
          <w:b/>
          <w:bCs/>
          <w:sz w:val="32"/>
          <w:szCs w:val="32"/>
        </w:rPr>
        <w:t>药用辅材及医疗器械。</w:t>
      </w:r>
      <w:r>
        <w:rPr>
          <w:rFonts w:hint="eastAsia" w:ascii="Times New Roman" w:hAnsi="Times New Roman" w:eastAsia="仿宋_GB2312"/>
          <w:sz w:val="32"/>
          <w:szCs w:val="32"/>
        </w:rPr>
        <w:t>依托中科蓝海、锦海医药科技、方达药械等重点企业，建设医疗器械产业园，重点发展消毒灭菌设备、外科手术器械、电动病床、红外额温机、医用口罩等传统医疗器械产品和药用铝瓶等药用包材。</w:t>
      </w:r>
      <w:r>
        <w:rPr>
          <w:rFonts w:hint="eastAsia" w:ascii="Times New Roman" w:hAnsi="Times New Roman" w:eastAsia="仿宋_GB2312"/>
          <w:sz w:val="32"/>
          <w:szCs w:val="32"/>
          <w:lang w:val="zh-CN"/>
        </w:rPr>
        <w:t>大力引入数字化、信息化、3D打印技术，</w:t>
      </w:r>
      <w:r>
        <w:rPr>
          <w:rFonts w:hint="eastAsia" w:ascii="Times New Roman" w:hAnsi="Times New Roman" w:eastAsia="仿宋_GB2312"/>
          <w:sz w:val="32"/>
          <w:szCs w:val="32"/>
        </w:rPr>
        <w:t>发展</w:t>
      </w:r>
      <w:r>
        <w:rPr>
          <w:rFonts w:hint="eastAsia" w:ascii="Times New Roman" w:hAnsi="Times New Roman" w:eastAsia="仿宋_GB2312"/>
          <w:sz w:val="32"/>
          <w:szCs w:val="32"/>
          <w:lang w:val="zh-CN"/>
        </w:rPr>
        <w:t>高端个性化定制器械、微创医疗器材等，</w:t>
      </w:r>
      <w:r>
        <w:rPr>
          <w:rFonts w:hint="eastAsia" w:ascii="Times New Roman" w:hAnsi="Times New Roman" w:eastAsia="仿宋_GB2312"/>
          <w:sz w:val="32"/>
          <w:szCs w:val="32"/>
        </w:rPr>
        <w:t>研发生产数字医学影像设备、可穿戴医疗检测康复产品</w:t>
      </w:r>
      <w:r>
        <w:rPr>
          <w:rFonts w:hint="eastAsia" w:ascii="Times New Roman" w:hAnsi="Times New Roman" w:eastAsia="仿宋_GB2312"/>
          <w:sz w:val="32"/>
          <w:szCs w:val="32"/>
          <w:lang w:val="zh-CN"/>
        </w:rPr>
        <w:t>、诊察及康复器械、医学影像诊断设备等</w:t>
      </w:r>
      <w:r>
        <w:rPr>
          <w:rFonts w:hint="eastAsia" w:ascii="Times New Roman" w:hAnsi="Times New Roman" w:eastAsia="仿宋_GB2312"/>
          <w:sz w:val="32"/>
          <w:szCs w:val="32"/>
        </w:rPr>
        <w:t>创新性强、附加值高的新型医疗器械。</w:t>
      </w:r>
      <w:bookmarkEnd w:id="222"/>
      <w:bookmarkEnd w:id="223"/>
      <w:bookmarkEnd w:id="224"/>
      <w:bookmarkEnd w:id="225"/>
      <w:bookmarkEnd w:id="226"/>
      <w:bookmarkEnd w:id="227"/>
      <w:bookmarkEnd w:id="228"/>
      <w:bookmarkEnd w:id="229"/>
    </w:p>
    <w:p w14:paraId="5B7B3C4B">
      <w:pPr>
        <w:spacing w:line="600" w:lineRule="exact"/>
        <w:ind w:firstLine="643" w:firstLineChars="200"/>
        <w:outlineLvl w:val="1"/>
        <w:rPr>
          <w:rFonts w:ascii="楷体_GB2312" w:hAnsi="楷体_GB2312" w:eastAsia="楷体_GB2312" w:cs="楷体_GB2312"/>
          <w:b/>
          <w:bCs/>
          <w:sz w:val="32"/>
          <w:szCs w:val="32"/>
        </w:rPr>
      </w:pPr>
      <w:bookmarkStart w:id="230" w:name="_Toc32225"/>
      <w:bookmarkStart w:id="231" w:name="_Toc31417"/>
      <w:bookmarkStart w:id="232" w:name="_Toc25060"/>
      <w:bookmarkStart w:id="233" w:name="_Toc22892"/>
      <w:bookmarkStart w:id="234" w:name="_Toc25039"/>
      <w:bookmarkStart w:id="235" w:name="_Toc3463"/>
      <w:bookmarkStart w:id="236" w:name="_Toc10551"/>
      <w:bookmarkStart w:id="237" w:name="_Toc10312"/>
      <w:bookmarkStart w:id="238" w:name="_Toc17245"/>
      <w:bookmarkStart w:id="239" w:name="_Toc6909"/>
      <w:r>
        <w:rPr>
          <w:rFonts w:hint="eastAsia" w:ascii="楷体_GB2312" w:hAnsi="楷体_GB2312" w:eastAsia="楷体_GB2312" w:cs="楷体_GB2312"/>
          <w:b/>
          <w:bCs/>
          <w:sz w:val="32"/>
          <w:szCs w:val="32"/>
        </w:rPr>
        <w:t>（五）</w:t>
      </w:r>
      <w:r>
        <w:rPr>
          <w:rFonts w:ascii="楷体_GB2312" w:hAnsi="楷体_GB2312" w:eastAsia="楷体_GB2312" w:cs="楷体_GB2312"/>
          <w:b/>
          <w:bCs/>
          <w:sz w:val="32"/>
          <w:szCs w:val="32"/>
        </w:rPr>
        <w:t>装备制造</w:t>
      </w:r>
      <w:r>
        <w:rPr>
          <w:rFonts w:hint="eastAsia" w:ascii="楷体_GB2312" w:hAnsi="楷体_GB2312" w:eastAsia="楷体_GB2312" w:cs="楷体_GB2312"/>
          <w:b/>
          <w:bCs/>
          <w:sz w:val="32"/>
          <w:szCs w:val="32"/>
          <w:lang w:val="en-US" w:eastAsia="zh-CN"/>
        </w:rPr>
        <w:t>和新能源汽车</w:t>
      </w:r>
      <w:r>
        <w:rPr>
          <w:rFonts w:ascii="楷体_GB2312" w:hAnsi="楷体_GB2312" w:eastAsia="楷体_GB2312" w:cs="楷体_GB2312"/>
          <w:b/>
          <w:bCs/>
          <w:sz w:val="32"/>
          <w:szCs w:val="32"/>
        </w:rPr>
        <w:t>产业</w:t>
      </w:r>
      <w:bookmarkEnd w:id="230"/>
      <w:bookmarkEnd w:id="231"/>
      <w:bookmarkEnd w:id="232"/>
      <w:bookmarkEnd w:id="233"/>
      <w:bookmarkEnd w:id="234"/>
      <w:bookmarkEnd w:id="235"/>
      <w:bookmarkEnd w:id="236"/>
      <w:bookmarkEnd w:id="237"/>
      <w:bookmarkEnd w:id="238"/>
      <w:bookmarkEnd w:id="239"/>
    </w:p>
    <w:p w14:paraId="08C27D93">
      <w:pPr>
        <w:spacing w:line="600" w:lineRule="exact"/>
        <w:ind w:firstLine="643" w:firstLineChars="200"/>
        <w:outlineLvl w:val="2"/>
        <w:rPr>
          <w:rFonts w:ascii="仿宋_GB2312" w:hAnsi="仿宋_GB2312" w:eastAsia="仿宋_GB2312" w:cs="仿宋_GB2312"/>
          <w:b/>
          <w:sz w:val="32"/>
          <w:szCs w:val="32"/>
        </w:rPr>
      </w:pPr>
      <w:bookmarkStart w:id="240" w:name="_Toc17547"/>
      <w:bookmarkStart w:id="241" w:name="_Toc10008"/>
      <w:r>
        <w:rPr>
          <w:rFonts w:ascii="仿宋_GB2312" w:hAnsi="仿宋_GB2312" w:eastAsia="仿宋_GB2312" w:cs="仿宋_GB2312"/>
          <w:b/>
          <w:sz w:val="32"/>
          <w:szCs w:val="32"/>
        </w:rPr>
        <w:t>1.</w:t>
      </w:r>
      <w:r>
        <w:rPr>
          <w:rFonts w:hint="eastAsia" w:ascii="仿宋_GB2312" w:hAnsi="仿宋_GB2312" w:eastAsia="仿宋_GB2312" w:cs="仿宋_GB2312"/>
          <w:b/>
          <w:sz w:val="32"/>
          <w:szCs w:val="32"/>
        </w:rPr>
        <w:t>发展目标</w:t>
      </w:r>
      <w:bookmarkEnd w:id="240"/>
    </w:p>
    <w:p w14:paraId="5F450F72">
      <w:pPr>
        <w:spacing w:line="60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到2025年，装备制造产业链条更加完善，新技术、新产品、新业态、新模式不断涌现，培育一批具有全国影响力的高端装备制造企业，形成</w:t>
      </w:r>
      <w:r>
        <w:rPr>
          <w:rFonts w:hint="eastAsia" w:ascii="仿宋_GB2312" w:hAnsi="仿宋_GB2312" w:eastAsia="仿宋_GB2312" w:cs="仿宋_GB2312"/>
          <w:bCs/>
          <w:sz w:val="32"/>
          <w:szCs w:val="32"/>
          <w:lang w:val="en-US" w:eastAsia="zh-CN"/>
        </w:rPr>
        <w:t>集</w:t>
      </w:r>
      <w:r>
        <w:rPr>
          <w:rFonts w:hint="eastAsia" w:ascii="仿宋_GB2312" w:hAnsi="仿宋_GB2312" w:eastAsia="仿宋_GB2312" w:cs="仿宋_GB2312"/>
          <w:bCs/>
          <w:sz w:val="32"/>
          <w:szCs w:val="32"/>
        </w:rPr>
        <w:t>基础材料、核心零部件、装备整机、集成应用等</w:t>
      </w:r>
      <w:r>
        <w:rPr>
          <w:rFonts w:hint="eastAsia" w:ascii="仿宋_GB2312" w:hAnsi="仿宋_GB2312" w:eastAsia="仿宋_GB2312" w:cs="仿宋_GB2312"/>
          <w:bCs/>
          <w:sz w:val="32"/>
          <w:szCs w:val="32"/>
          <w:lang w:val="en-US" w:eastAsia="zh-CN"/>
        </w:rPr>
        <w:t>为一体的</w:t>
      </w:r>
      <w:r>
        <w:rPr>
          <w:rFonts w:hint="eastAsia" w:ascii="仿宋_GB2312" w:hAnsi="仿宋_GB2312" w:eastAsia="仿宋_GB2312" w:cs="仿宋_GB2312"/>
          <w:bCs/>
          <w:sz w:val="32"/>
          <w:szCs w:val="32"/>
        </w:rPr>
        <w:t>较为完整的产业体系，建成</w:t>
      </w:r>
      <w:r>
        <w:rPr>
          <w:rFonts w:hint="eastAsia" w:ascii="仿宋_GB2312" w:hAnsi="仿宋_GB2312" w:eastAsia="仿宋_GB2312" w:cs="仿宋_GB2312"/>
          <w:bCs/>
          <w:sz w:val="32"/>
          <w:szCs w:val="32"/>
          <w:lang w:val="en-US" w:eastAsia="zh-CN"/>
        </w:rPr>
        <w:t>皖北重要</w:t>
      </w:r>
      <w:r>
        <w:rPr>
          <w:rFonts w:hint="eastAsia" w:ascii="仿宋_GB2312" w:hAnsi="仿宋_GB2312" w:eastAsia="仿宋_GB2312" w:cs="仿宋_GB2312"/>
          <w:bCs/>
          <w:sz w:val="32"/>
          <w:szCs w:val="32"/>
        </w:rPr>
        <w:t>的装备制造产业创新基地，</w:t>
      </w:r>
      <w:r>
        <w:rPr>
          <w:rFonts w:hint="eastAsia" w:ascii="仿宋_GB2312" w:hAnsi="仿宋_GB2312" w:eastAsia="仿宋_GB2312" w:cs="仿宋_GB2312"/>
          <w:sz w:val="32"/>
          <w:szCs w:val="32"/>
        </w:rPr>
        <w:t>围绕新能源汽车制造，充电设施、电池回收利用、资源开发利用等配套产业协同发展，新能源汽车全产业链基本建成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Cs/>
          <w:sz w:val="32"/>
          <w:szCs w:val="32"/>
        </w:rPr>
        <w:t>产业总产值达到</w:t>
      </w:r>
      <w:r>
        <w:rPr>
          <w:rFonts w:hint="eastAsia" w:ascii="仿宋_GB2312" w:hAnsi="仿宋_GB2312" w:eastAsia="仿宋_GB2312" w:cs="仿宋_GB2312"/>
          <w:bCs/>
          <w:sz w:val="32"/>
          <w:szCs w:val="32"/>
          <w:lang w:val="en-US" w:eastAsia="zh-CN"/>
        </w:rPr>
        <w:t>5</w:t>
      </w:r>
      <w:r>
        <w:rPr>
          <w:rFonts w:hint="eastAsia" w:ascii="仿宋_GB2312" w:hAnsi="仿宋_GB2312" w:eastAsia="仿宋_GB2312" w:cs="仿宋_GB2312"/>
          <w:bCs/>
          <w:sz w:val="32"/>
          <w:szCs w:val="32"/>
        </w:rPr>
        <w:t>00亿元。</w:t>
      </w:r>
    </w:p>
    <w:p w14:paraId="726120AF">
      <w:pPr>
        <w:spacing w:line="600" w:lineRule="exact"/>
        <w:ind w:firstLine="643" w:firstLineChars="200"/>
        <w:outlineLvl w:val="2"/>
        <w:rPr>
          <w:rFonts w:ascii="仿宋_GB2312" w:hAnsi="仿宋_GB2312" w:eastAsia="仿宋_GB2312" w:cs="仿宋_GB2312"/>
          <w:b/>
          <w:sz w:val="32"/>
          <w:szCs w:val="32"/>
        </w:rPr>
      </w:pPr>
      <w:bookmarkStart w:id="242" w:name="_Toc6358"/>
      <w:r>
        <w:rPr>
          <w:rFonts w:hint="eastAsia" w:ascii="仿宋_GB2312" w:hAnsi="仿宋_GB2312" w:eastAsia="仿宋_GB2312" w:cs="仿宋_GB2312"/>
          <w:b/>
          <w:sz w:val="32"/>
          <w:szCs w:val="32"/>
        </w:rPr>
        <w:t>2.发展现状</w:t>
      </w:r>
      <w:bookmarkEnd w:id="242"/>
    </w:p>
    <w:p w14:paraId="4B822CF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截至2020年，全市共有</w:t>
      </w:r>
      <w:r>
        <w:rPr>
          <w:rFonts w:hint="eastAsia" w:ascii="仿宋_GB2312" w:hAnsi="仿宋_GB2312" w:eastAsia="仿宋_GB2312" w:cs="仿宋_GB2312"/>
          <w:sz w:val="32"/>
          <w:szCs w:val="32"/>
          <w:lang w:val="en-US" w:eastAsia="zh-CN"/>
        </w:rPr>
        <w:t>200余</w:t>
      </w:r>
      <w:r>
        <w:rPr>
          <w:rFonts w:hint="eastAsia" w:ascii="仿宋_GB2312" w:hAnsi="仿宋_GB2312" w:eastAsia="仿宋_GB2312" w:cs="仿宋_GB2312"/>
          <w:sz w:val="32"/>
          <w:szCs w:val="32"/>
        </w:rPr>
        <w:t>家规上企业，产值达280.2亿元，其中年产值10亿元以上企业</w:t>
      </w:r>
      <w:r>
        <w:rPr>
          <w:rFonts w:hint="eastAsia" w:ascii="仿宋_GB2312" w:hAnsi="仿宋_GB2312" w:eastAsia="仿宋_GB2312" w:cs="仿宋_GB2312"/>
          <w:color w:val="auto"/>
          <w:sz w:val="32"/>
          <w:szCs w:val="32"/>
        </w:rPr>
        <w:t>有2家</w:t>
      </w:r>
      <w:r>
        <w:rPr>
          <w:rFonts w:hint="eastAsia" w:ascii="仿宋_GB2312" w:hAnsi="仿宋_GB2312" w:eastAsia="仿宋_GB2312" w:cs="仿宋_GB2312"/>
          <w:sz w:val="32"/>
          <w:szCs w:val="32"/>
        </w:rPr>
        <w:t>，主要集中于交通运输设备制造业、普通机械制造业、电气机械及器材制造业以及专用设备制造业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新能源汽车零部件</w:t>
      </w:r>
      <w:r>
        <w:rPr>
          <w:rFonts w:hint="eastAsia" w:ascii="仿宋_GB2312" w:hAnsi="仿宋_GB2312" w:eastAsia="仿宋_GB2312" w:cs="仿宋_GB2312"/>
          <w:sz w:val="32"/>
          <w:szCs w:val="32"/>
        </w:rPr>
        <w:t>等领域。</w:t>
      </w:r>
    </w:p>
    <w:p w14:paraId="68D2B67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但也存在</w:t>
      </w:r>
      <w:r>
        <w:rPr>
          <w:rFonts w:hint="eastAsia" w:ascii="仿宋_GB2312" w:hAnsi="仿宋_GB2312" w:eastAsia="仿宋_GB2312" w:cs="仿宋_GB2312"/>
          <w:sz w:val="32"/>
          <w:szCs w:val="32"/>
          <w:lang w:val="en-US" w:eastAsia="zh-CN"/>
        </w:rPr>
        <w:t>一些问题，如装备制造</w:t>
      </w:r>
      <w:r>
        <w:rPr>
          <w:rFonts w:hint="eastAsia" w:ascii="仿宋_GB2312" w:hAnsi="仿宋_GB2312" w:eastAsia="仿宋_GB2312" w:cs="仿宋_GB2312"/>
          <w:sz w:val="32"/>
          <w:szCs w:val="32"/>
        </w:rPr>
        <w:t>产业链不够完整，上游零部件材料对外依赖程度高；产业层次偏低，大多停留在组装环节，技术含量和附加值不高；装备制造企业的工程设计、方案咨询、技术研发、设备维护、修理、运营等一体化服务能力较弱，定制设计和柔性制造等个性化服务能力有待提升；我市装备制造产业2017年-2020年认定的省级智能工厂和数字化车间仅5个，远低于合肥、滁州、蚌埠等地水平，企业智能化水平有待提升。新能源汽车产业基础较为薄弱，缺少具有整车制造能力的龙头企业，产业链尚未完全形成。</w:t>
      </w:r>
    </w:p>
    <w:p w14:paraId="275FE17E">
      <w:pPr>
        <w:spacing w:line="600" w:lineRule="exact"/>
        <w:ind w:firstLine="643" w:firstLineChars="200"/>
        <w:outlineLvl w:val="2"/>
        <w:rPr>
          <w:rFonts w:ascii="仿宋_GB2312" w:hAnsi="仿宋_GB2312" w:eastAsia="仿宋_GB2312" w:cs="仿宋_GB2312"/>
          <w:b/>
          <w:sz w:val="32"/>
          <w:szCs w:val="32"/>
        </w:rPr>
      </w:pPr>
      <w:bookmarkStart w:id="243" w:name="_Toc29763"/>
      <w:r>
        <w:rPr>
          <w:rFonts w:hint="eastAsia" w:ascii="仿宋_GB2312" w:hAnsi="仿宋_GB2312" w:eastAsia="仿宋_GB2312" w:cs="仿宋_GB2312"/>
          <w:b/>
          <w:sz w:val="32"/>
          <w:szCs w:val="32"/>
          <w:lang w:val="en-US" w:eastAsia="zh-CN"/>
        </w:rPr>
        <w:t>3</w:t>
      </w:r>
      <w:r>
        <w:rPr>
          <w:rFonts w:hint="eastAsia" w:ascii="仿宋_GB2312" w:hAnsi="仿宋_GB2312" w:eastAsia="仿宋_GB2312" w:cs="仿宋_GB2312"/>
          <w:b/>
          <w:sz w:val="32"/>
          <w:szCs w:val="32"/>
        </w:rPr>
        <w:t>.发展思路</w:t>
      </w:r>
    </w:p>
    <w:p w14:paraId="4B130E96">
      <w:pPr>
        <w:pStyle w:val="23"/>
        <w:spacing w:after="0" w:line="600" w:lineRule="exact"/>
        <w:ind w:left="0" w:leftChars="0" w:firstLine="643"/>
        <w:rPr>
          <w:rFonts w:ascii="仿宋_GB2312" w:hAnsi="仿宋_GB2312" w:eastAsia="仿宋_GB2312" w:cs="仿宋_GB2312"/>
          <w:sz w:val="32"/>
          <w:szCs w:val="32"/>
        </w:rPr>
      </w:pPr>
      <w:r>
        <w:rPr>
          <w:rFonts w:hint="eastAsia" w:ascii="仿宋_GB2312" w:hAnsi="仿宋_GB2312" w:eastAsia="仿宋_GB2312" w:cs="仿宋_GB2312"/>
          <w:b/>
          <w:bCs/>
          <w:sz w:val="32"/>
          <w:szCs w:val="32"/>
        </w:rPr>
        <w:t>（1）壮大装备制造产业。完善产业链条。</w:t>
      </w:r>
      <w:r>
        <w:rPr>
          <w:rFonts w:hint="eastAsia" w:ascii="仿宋_GB2312" w:hAnsi="仿宋_GB2312" w:eastAsia="仿宋_GB2312" w:cs="仿宋_GB2312"/>
          <w:sz w:val="32"/>
          <w:szCs w:val="32"/>
          <w:lang w:val="en-US" w:eastAsia="zh-CN"/>
        </w:rPr>
        <w:t>围绕</w:t>
      </w:r>
      <w:r>
        <w:rPr>
          <w:rFonts w:hint="eastAsia" w:ascii="仿宋_GB2312" w:hAnsi="仿宋_GB2312" w:eastAsia="仿宋_GB2312" w:cs="仿宋_GB2312"/>
          <w:sz w:val="32"/>
          <w:szCs w:val="32"/>
        </w:rPr>
        <w:t>货车、专用车、</w:t>
      </w:r>
      <w:r>
        <w:rPr>
          <w:rFonts w:hint="eastAsia" w:ascii="仿宋_GB2312" w:hAnsi="仿宋_GB2312" w:eastAsia="仿宋_GB2312" w:cs="仿宋_GB2312"/>
          <w:sz w:val="32"/>
          <w:szCs w:val="32"/>
          <w:lang w:val="en-US" w:eastAsia="zh-CN"/>
        </w:rPr>
        <w:t>新能源汽车、</w:t>
      </w:r>
      <w:r>
        <w:rPr>
          <w:rFonts w:hint="eastAsia" w:ascii="仿宋_GB2312" w:hAnsi="仿宋_GB2312" w:eastAsia="仿宋_GB2312" w:cs="仿宋_GB2312"/>
          <w:sz w:val="32"/>
          <w:szCs w:val="32"/>
        </w:rPr>
        <w:t>粮食机械等领域，完善产业链条，补充上游倒车影像、汽车电子等零部件“缺链”环节，拓展下游产品应用。</w:t>
      </w:r>
      <w:r>
        <w:rPr>
          <w:rFonts w:hint="eastAsia" w:ascii="仿宋_GB2312" w:hAnsi="仿宋_GB2312" w:eastAsia="仿宋_GB2312" w:cs="仿宋_GB2312"/>
          <w:b/>
          <w:bCs/>
          <w:sz w:val="32"/>
          <w:szCs w:val="32"/>
        </w:rPr>
        <w:t>发挥龙头企业引领带动作用。</w:t>
      </w:r>
      <w:r>
        <w:rPr>
          <w:rFonts w:hint="eastAsia" w:ascii="仿宋_GB2312" w:hAnsi="仿宋_GB2312" w:eastAsia="仿宋_GB2312" w:cs="仿宋_GB2312"/>
          <w:sz w:val="32"/>
          <w:szCs w:val="32"/>
        </w:rPr>
        <w:t>按照“龙头+配套”方式，发挥江淮、开乐、云龙等龙头企业对供应链的引领带动作用，支持上下游企业加强产业协同和技术合作攻关，推动企业协同发展，增强产业链韧性和控制力。鼓励龙头企业为中小企业开放空间载体，开放共享资源，将自身闲置资源和中小企业闲置产能深入对接，利用“互联网+”等手段，推动资源优化配置。</w:t>
      </w:r>
      <w:r>
        <w:rPr>
          <w:rFonts w:hint="eastAsia" w:ascii="仿宋_GB2312" w:hAnsi="仿宋_GB2312" w:eastAsia="仿宋_GB2312" w:cs="仿宋_GB2312"/>
          <w:b/>
          <w:bCs/>
          <w:sz w:val="32"/>
          <w:szCs w:val="32"/>
        </w:rPr>
        <w:t>推进智能制造示范。</w:t>
      </w:r>
      <w:r>
        <w:rPr>
          <w:rFonts w:hint="eastAsia" w:ascii="仿宋_GB2312" w:hAnsi="仿宋_GB2312" w:eastAsia="仿宋_GB2312" w:cs="仿宋_GB2312"/>
          <w:sz w:val="32"/>
          <w:szCs w:val="32"/>
        </w:rPr>
        <w:t>积极参与国家和省智能制造三大基础建设，支持一批有发展基础的骨干企业建立智能工厂，加强网络协同开发、电子商务应用等智能制造新业态或新模式示范项目建设。</w:t>
      </w:r>
    </w:p>
    <w:p w14:paraId="4BF840DD">
      <w:pPr>
        <w:pStyle w:val="23"/>
        <w:spacing w:after="0" w:line="600" w:lineRule="exact"/>
        <w:ind w:left="0" w:leftChars="0" w:firstLine="643"/>
        <w:rPr>
          <w:rFonts w:ascii="仿宋_GB2312" w:hAnsi="仿宋_GB2312" w:eastAsia="仿宋_GB2312" w:cs="仿宋_GB2312"/>
          <w:sz w:val="32"/>
          <w:szCs w:val="32"/>
        </w:rPr>
      </w:pPr>
      <w:r>
        <w:rPr>
          <w:rFonts w:hint="eastAsia" w:ascii="仿宋_GB2312" w:hAnsi="仿宋_GB2312" w:eastAsia="仿宋_GB2312" w:cs="仿宋_GB2312"/>
          <w:b/>
          <w:bCs/>
          <w:sz w:val="32"/>
          <w:szCs w:val="32"/>
        </w:rPr>
        <w:t>（2）加快传统装备制造产业转型升级。推动产品升级改造。</w:t>
      </w:r>
      <w:r>
        <w:rPr>
          <w:rFonts w:hint="eastAsia" w:ascii="仿宋_GB2312" w:hAnsi="仿宋_GB2312" w:eastAsia="仿宋_GB2312" w:cs="仿宋_GB2312"/>
          <w:sz w:val="32"/>
          <w:szCs w:val="32"/>
        </w:rPr>
        <w:t>全面实现粮食机械、农业机械、机电设备等传统产品技术和生产国产化，改造提升汽车底盘、制动系统、悬架系统等重要零部件品质。依托市场需求加快推动装备传统产业结构调整和转型升级，重点开发高端产品，推动产品进一步由低附加值、低技术含量向高价值、高技术含量产品延伸。</w:t>
      </w:r>
      <w:r>
        <w:rPr>
          <w:rFonts w:hint="eastAsia" w:ascii="仿宋_GB2312" w:hAnsi="仿宋_GB2312" w:eastAsia="仿宋_GB2312" w:cs="仿宋_GB2312"/>
          <w:b/>
          <w:bCs/>
          <w:sz w:val="32"/>
          <w:szCs w:val="32"/>
        </w:rPr>
        <w:t>提高装备个性化生产能力。</w:t>
      </w:r>
      <w:r>
        <w:rPr>
          <w:rFonts w:hint="eastAsia" w:ascii="仿宋_GB2312" w:hAnsi="仿宋_GB2312" w:eastAsia="仿宋_GB2312" w:cs="仿宋_GB2312"/>
          <w:sz w:val="32"/>
          <w:szCs w:val="32"/>
        </w:rPr>
        <w:t>鼓励装备制造企业优化产品设计，增加优质新型产品有效供给，满足不同群体不断升级的多样化消费需求；加强用户需求管理，精准感知、快速获取用户实际需求，根据用户订单进行自动排产、生产物料供应、产能优化利用；加快研发设计、生产制造、销售服务等全流程的信息共享和业务协同，提高装备制造产业的产能利用效率、生产制造弹性和客户响应速度。</w:t>
      </w:r>
      <w:r>
        <w:rPr>
          <w:rFonts w:hint="eastAsia" w:ascii="仿宋_GB2312" w:hAnsi="仿宋_GB2312" w:eastAsia="仿宋_GB2312" w:cs="仿宋_GB2312"/>
          <w:b/>
          <w:bCs/>
          <w:sz w:val="32"/>
          <w:szCs w:val="32"/>
        </w:rPr>
        <w:t>建立产业公共服务平台。</w:t>
      </w:r>
      <w:r>
        <w:rPr>
          <w:rFonts w:hint="eastAsia" w:ascii="仿宋_GB2312" w:hAnsi="仿宋_GB2312" w:eastAsia="仿宋_GB2312" w:cs="仿宋_GB2312"/>
          <w:sz w:val="32"/>
          <w:szCs w:val="32"/>
        </w:rPr>
        <w:t>采取产学研相结合的组织形式，集现代设计理论、计算机技术、信息技术、先进测试技术于一体，面向传统装备制造产业，提供计算机辅助测试、检验检测、标准化服务、工业设计、技术培训等服务，建立区域性技术创新公共服务平台。</w:t>
      </w:r>
    </w:p>
    <w:p w14:paraId="28ED6FB9">
      <w:pPr>
        <w:pStyle w:val="23"/>
        <w:spacing w:after="0" w:line="600" w:lineRule="exact"/>
        <w:ind w:left="0" w:leftChars="0" w:firstLine="643"/>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（3）培育高成长性装备制造产业。加大招商引资力度。</w:t>
      </w:r>
      <w:r>
        <w:rPr>
          <w:rFonts w:hint="eastAsia" w:ascii="仿宋_GB2312" w:hAnsi="仿宋_GB2312" w:eastAsia="仿宋_GB2312" w:cs="仿宋_GB2312"/>
          <w:sz w:val="32"/>
          <w:szCs w:val="32"/>
        </w:rPr>
        <w:t>抢抓长三角向外转移轨道交通设备、工业机器人、智能家居等产业机遇，研究制定产业招商引资优惠政策，完善基础设施建设，积极引进先发地区规模大、技术含量高的装备制造企业入驻。</w:t>
      </w:r>
      <w:r>
        <w:rPr>
          <w:rFonts w:hint="eastAsia" w:ascii="仿宋_GB2312" w:hAnsi="仿宋_GB2312" w:eastAsia="仿宋_GB2312" w:cs="仿宋_GB2312"/>
          <w:b/>
          <w:bCs/>
          <w:sz w:val="32"/>
          <w:szCs w:val="32"/>
        </w:rPr>
        <w:t>完善精准化、差异化政策。</w:t>
      </w:r>
      <w:r>
        <w:rPr>
          <w:rFonts w:hint="eastAsia" w:ascii="仿宋_GB2312" w:hAnsi="仿宋_GB2312" w:eastAsia="仿宋_GB2312" w:cs="仿宋_GB2312"/>
          <w:sz w:val="32"/>
          <w:szCs w:val="32"/>
        </w:rPr>
        <w:t>对轨道交通、机器人、智能系统研发等行业，建立研发联盟，加强关键技术研发支持；对高端制造类企业通过精准化用地支持，按照土地集约利用原则，创新利用存量产业用房改造作为研发用房的用地方法，切实解决高成长性企业的发展空间问题。</w:t>
      </w:r>
    </w:p>
    <w:p w14:paraId="19E6E341">
      <w:pPr>
        <w:pStyle w:val="16"/>
        <w:spacing w:line="600" w:lineRule="exact"/>
        <w:ind w:firstLine="643"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b/>
          <w:bCs/>
          <w:sz w:val="32"/>
          <w:szCs w:val="32"/>
          <w:highlight w:val="none"/>
          <w:lang w:val="en-US" w:eastAsia="zh-CN"/>
        </w:rPr>
        <w:t>4</w:t>
      </w:r>
      <w:r>
        <w:rPr>
          <w:rFonts w:hint="eastAsia" w:ascii="仿宋_GB2312" w:hAnsi="仿宋_GB2312" w:eastAsia="仿宋_GB2312" w:cs="仿宋_GB2312"/>
          <w:b/>
          <w:bCs/>
          <w:sz w:val="32"/>
          <w:szCs w:val="32"/>
          <w:highlight w:val="none"/>
        </w:rPr>
        <w:t>）做大新能源汽车产业规模。</w:t>
      </w:r>
      <w:r>
        <w:rPr>
          <w:rFonts w:hint="eastAsia" w:ascii="仿宋_GB2312" w:hAnsi="仿宋_GB2312" w:eastAsia="仿宋_GB2312" w:cs="仿宋_GB2312"/>
          <w:b/>
          <w:bCs/>
          <w:sz w:val="32"/>
          <w:szCs w:val="32"/>
        </w:rPr>
        <w:t>培育整车制造企业。</w:t>
      </w:r>
      <w:r>
        <w:rPr>
          <w:rFonts w:hint="eastAsia" w:ascii="仿宋_GB2312" w:hAnsi="仿宋_GB2312" w:eastAsia="仿宋_GB2312" w:cs="仿宋_GB2312"/>
          <w:b w:val="0"/>
          <w:bCs w:val="0"/>
          <w:sz w:val="32"/>
          <w:szCs w:val="32"/>
        </w:rPr>
        <w:t>支持现有汽车制造企业积极向新能源汽车转型，参与新能源低速车、智能网联汽车等新能源汽车整车设计、研发、制造等环节。立足现有零部件制造企业，鼓励其配套生产新能源汽车零部件，重点发展新能源车用发动机、动力电池及管理系统、驱动电机及控制系统、车用附件(电转向、电空调、电制动等)关键部件企业，力争打造汽车零配件生产基地。鼓励华铂等新能源电池制造企业积极向下游延伸，提高产品附加值。充分发挥财政资金奖补作用，开展新能源汽车产业链招商，重点招引新设立独立法人生产企业、新能源汽车产业跨国公司、国内整车企业、关键零部件十强企业。</w:t>
      </w:r>
      <w:r>
        <w:rPr>
          <w:rFonts w:hint="eastAsia" w:ascii="仿宋_GB2312" w:hAnsi="仿宋_GB2312" w:eastAsia="仿宋_GB2312" w:cs="仿宋_GB2312"/>
          <w:b/>
          <w:bCs/>
          <w:sz w:val="32"/>
          <w:szCs w:val="32"/>
        </w:rPr>
        <w:t>完善产业配套体系</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val="0"/>
          <w:bCs w:val="0"/>
          <w:sz w:val="32"/>
          <w:szCs w:val="32"/>
        </w:rPr>
        <w:t>支持新能源汽车生产企业和专业化市场主体建立完善新能源汽车的维修服务网络，履行新能源汽车废旧动力蓄电池回收的主体责任，增强与销售的新能源汽车总量规模相匹配的电池回收、利用和处置能力，实现对新能源汽车全产业链、全生命周期的安全管理。</w:t>
      </w:r>
    </w:p>
    <w:p w14:paraId="2FD45713">
      <w:pPr>
        <w:pStyle w:val="14"/>
        <w:spacing w:after="0" w:line="600" w:lineRule="exact"/>
        <w:ind w:left="0" w:leftChars="0" w:firstLine="643" w:firstLineChars="200"/>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lang w:val="en-US" w:eastAsia="zh-CN"/>
        </w:rPr>
        <w:t>4</w:t>
      </w:r>
      <w:r>
        <w:rPr>
          <w:rFonts w:ascii="仿宋_GB2312" w:hAnsi="仿宋_GB2312" w:eastAsia="仿宋_GB2312" w:cs="仿宋_GB2312"/>
          <w:b/>
          <w:sz w:val="32"/>
          <w:szCs w:val="32"/>
        </w:rPr>
        <w:t>.发展重点</w:t>
      </w:r>
      <w:bookmarkEnd w:id="243"/>
    </w:p>
    <w:p w14:paraId="31E5BF84">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（1）重点发展</w:t>
      </w:r>
    </w:p>
    <w:p w14:paraId="6146F258">
      <w:pPr>
        <w:spacing w:line="60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汽车及零部件。</w:t>
      </w:r>
      <w:r>
        <w:rPr>
          <w:rFonts w:hint="eastAsia" w:ascii="仿宋_GB2312" w:hAnsi="仿宋_GB2312" w:eastAsia="仿宋_GB2312" w:cs="仿宋_GB2312"/>
          <w:sz w:val="32"/>
          <w:szCs w:val="32"/>
        </w:rPr>
        <w:t>以江汽中重卡生产基地和开乐专用车生产基地为平台，依托江淮、开乐、华兴、祺力、吉事达等企业，重点发展中高档载货汽车、半挂车、高端礼仪车、鲜活水产品运输车、易开启厢式车、清障专用车等产品。依托常阳、东胜、天驰、鼎铭等企业，重点发展重卡汽车车架纵梁总成、车架总成、驾驶室总成、运输车栏板、保险杠、合页、前面罩总成、踏步总成、角板总成、顶柜总成、车桥等汽车零部件。</w:t>
      </w:r>
    </w:p>
    <w:p w14:paraId="053FD3B8">
      <w:pPr>
        <w:spacing w:line="600" w:lineRule="exact"/>
        <w:ind w:firstLine="643" w:firstLineChars="200"/>
        <w:outlineLvl w:val="9"/>
        <w:rPr>
          <w:rFonts w:hint="eastAsia" w:ascii="仿宋_GB2312" w:hAnsi="仿宋_GB2312" w:eastAsia="仿宋_GB2312" w:cs="仿宋_GB2312"/>
          <w:b w:val="0"/>
          <w:bCs w:val="0"/>
          <w:sz w:val="32"/>
          <w:lang w:val="en-US" w:eastAsia="zh-CN"/>
        </w:rPr>
      </w:pPr>
      <w:r>
        <w:rPr>
          <w:rFonts w:hint="eastAsia" w:ascii="仿宋_GB2312" w:hAnsi="仿宋_GB2312" w:eastAsia="仿宋_GB2312" w:cs="仿宋_GB2312"/>
          <w:b/>
          <w:bCs/>
          <w:sz w:val="32"/>
          <w:lang w:val="en-US" w:eastAsia="zh-CN"/>
        </w:rPr>
        <w:t>新能源电池。</w:t>
      </w:r>
      <w:r>
        <w:rPr>
          <w:rFonts w:hint="eastAsia" w:ascii="仿宋_GB2312" w:hAnsi="仿宋_GB2312" w:eastAsia="仿宋_GB2312" w:cs="仿宋_GB2312"/>
          <w:b w:val="0"/>
          <w:bCs w:val="0"/>
          <w:sz w:val="32"/>
          <w:lang w:val="en-US" w:eastAsia="zh-CN"/>
        </w:rPr>
        <w:t>重点推进锂电池综合回收利用体系建设，打造锂电池“上游原材料-中游制造和封装-下游应用和回收”全产业链。加快锂元素电池、全固态电池、燃料电池产业发展，大力引进动力电池、储能电池、启停电池等高端产品项目，支持重点企业加大对高技术含量锂电池的研发力度，提升锂电池的能量密度、循环寿命和安全性能。</w:t>
      </w:r>
    </w:p>
    <w:p w14:paraId="3F6C45F7">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（2）大力发展</w:t>
      </w:r>
    </w:p>
    <w:p w14:paraId="0786E2F0">
      <w:pPr>
        <w:spacing w:line="60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农业与粮食机械。</w:t>
      </w:r>
      <w:r>
        <w:rPr>
          <w:rFonts w:hint="eastAsia" w:ascii="仿宋_GB2312" w:hAnsi="仿宋_GB2312" w:eastAsia="仿宋_GB2312" w:cs="仿宋_GB2312"/>
          <w:sz w:val="32"/>
          <w:szCs w:val="32"/>
        </w:rPr>
        <w:t>围绕周边农作物播收和畜牧业生产需求,加快云龙粮机、聚力粮机新型农业机械装备、安徽鹤鸣丰康种业农业机械加工等项目建设，打造新型农业机械装备产业化基地。重点发展新型播耕收装备、植保机械与装备、饲料粉碎机、扦样机、返样机、送样机、散粮卸载台、播种机、旋耕机等产品，大力发展土壤深松、精良播种、秸秆还田、经济类作物收获等装备。加大智能粮机研发力度，培育发展智慧粮库系统、智能喷灌机、智能烘干系统、粮食不落地系统、智能色选设备、粮用仓储机器人等产品。</w:t>
      </w:r>
    </w:p>
    <w:p w14:paraId="6A85798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（3）培育发展</w:t>
      </w:r>
    </w:p>
    <w:p w14:paraId="1E3784DB">
      <w:pPr>
        <w:spacing w:line="60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交通装备。</w:t>
      </w:r>
      <w:r>
        <w:rPr>
          <w:rFonts w:hint="eastAsia" w:ascii="仿宋_GB2312" w:hAnsi="仿宋_GB2312" w:eastAsia="仿宋_GB2312" w:cs="仿宋_GB2312"/>
          <w:sz w:val="32"/>
          <w:szCs w:val="32"/>
        </w:rPr>
        <w:t>大力</w:t>
      </w:r>
      <w:r>
        <w:rPr>
          <w:rFonts w:hint="eastAsia" w:ascii="仿宋_GB2312" w:hAnsi="仿宋_GB2312" w:eastAsia="仿宋_GB2312" w:cs="仿宋_GB2312"/>
          <w:sz w:val="32"/>
          <w:szCs w:val="32"/>
          <w:lang w:val="en-US" w:eastAsia="zh-CN"/>
        </w:rPr>
        <w:t>推广使用纯电动新能源公交车，适度</w:t>
      </w:r>
      <w:r>
        <w:rPr>
          <w:rFonts w:hint="eastAsia" w:ascii="仿宋_GB2312" w:hAnsi="仿宋_GB2312" w:eastAsia="仿宋_GB2312" w:cs="仿宋_GB2312"/>
          <w:sz w:val="32"/>
          <w:szCs w:val="32"/>
        </w:rPr>
        <w:t>发展超级电容公交车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尝试使用氢燃料电池公交车。发展</w:t>
      </w:r>
      <w:r>
        <w:rPr>
          <w:rFonts w:hint="eastAsia" w:ascii="仿宋_GB2312" w:hAnsi="仿宋_GB2312" w:eastAsia="仿宋_GB2312" w:cs="仿宋_GB2312"/>
          <w:sz w:val="32"/>
          <w:szCs w:val="32"/>
        </w:rPr>
        <w:t>用于磁浮轻轨（磁浮旅游）、磁浮市域、磁浮城际、磁浮地铁的嵌入式中低速磁浮系统；用于有轨电车和地铁线路的嵌入式轨道等产品。加快</w:t>
      </w:r>
      <w:r>
        <w:rPr>
          <w:rFonts w:hint="eastAsia" w:ascii="仿宋_GB2312" w:hAnsi="仿宋_GB2312" w:eastAsia="仿宋_GB2312" w:cs="仿宋_GB2312"/>
          <w:sz w:val="32"/>
          <w:szCs w:val="32"/>
          <w:lang w:val="en-US" w:eastAsia="zh-CN"/>
        </w:rPr>
        <w:t>充电桩和</w:t>
      </w:r>
      <w:r>
        <w:rPr>
          <w:rFonts w:hint="eastAsia" w:ascii="仿宋_GB2312" w:hAnsi="仿宋_GB2312" w:eastAsia="仿宋_GB2312" w:cs="仿宋_GB2312"/>
          <w:sz w:val="32"/>
          <w:szCs w:val="32"/>
        </w:rPr>
        <w:t>超级电容项目建设，积极推进超级电容</w:t>
      </w:r>
      <w:r>
        <w:rPr>
          <w:rFonts w:hint="eastAsia" w:ascii="仿宋_GB2312" w:hAnsi="仿宋_GB2312" w:eastAsia="仿宋_GB2312" w:cs="仿宋_GB2312"/>
          <w:sz w:val="32"/>
          <w:szCs w:val="32"/>
          <w:lang w:val="en-US" w:eastAsia="zh-CN"/>
        </w:rPr>
        <w:t>和氢燃料电池公交车示范应用</w:t>
      </w:r>
      <w:r>
        <w:rPr>
          <w:rFonts w:hint="eastAsia" w:ascii="仿宋_GB2312" w:hAnsi="仿宋_GB2312" w:eastAsia="仿宋_GB2312" w:cs="仿宋_GB2312"/>
          <w:sz w:val="32"/>
          <w:szCs w:val="32"/>
        </w:rPr>
        <w:t>，探索超级电容在轨道交通、纯电动重型牵引车、矿用电机车等领域的应用。</w:t>
      </w:r>
    </w:p>
    <w:p w14:paraId="3F1A5CF5">
      <w:pPr>
        <w:spacing w:line="60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工业机器人。</w:t>
      </w:r>
      <w:r>
        <w:rPr>
          <w:rFonts w:hint="eastAsia" w:ascii="仿宋_GB2312" w:hAnsi="仿宋_GB2312" w:eastAsia="仿宋_GB2312" w:cs="仿宋_GB2312"/>
          <w:sz w:val="32"/>
          <w:szCs w:val="32"/>
        </w:rPr>
        <w:t>重点发展消防机器人，向集防爆、消防、灭火、侦察于一体的方向发展，探索“无人机监测-中控室调度-消防机器人灭火”等消防应急解决方案。协同发展冲压机器人、焊接机器人、喷涂机器人、搬运机器人等，扩展机器人在工业生产装配、涂装、焊接、搬运、加工、清洁生产等环节应用。培育发展康养机器人等服务类机器人，探索医疗、家庭护理等领域的智能护理机器人、医疗康复机器人应用。加强技术攻关，探索突破高精度减速器、高性能控制器、传感器与末端执行器等关键技术与核心零部件。</w:t>
      </w:r>
    </w:p>
    <w:p w14:paraId="3452FAA1">
      <w:pPr>
        <w:spacing w:line="60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智能家居。</w:t>
      </w:r>
      <w:r>
        <w:rPr>
          <w:rFonts w:hint="eastAsia" w:ascii="仿宋_GB2312" w:hAnsi="仿宋_GB2312" w:eastAsia="仿宋_GB2312" w:cs="仿宋_GB2312"/>
          <w:sz w:val="32"/>
          <w:szCs w:val="32"/>
        </w:rPr>
        <w:t>以智能家居产业园为平台，汇集智能家居家电产业资源，鼓励企业针对家居安全性、舒适性、功能多样性等需求，重点发展洗衣机、空调等大家电的环保型智能家电整机、智能家电控制系统、智能用电交互终端、家庭安防、儿童看护、远程医疗和健康管理等产品，推动完善智能家居家电产业链，引导产业向“产品+服务”转型升级。</w:t>
      </w:r>
      <w:bookmarkStart w:id="244" w:name="_Toc18908"/>
    </w:p>
    <w:p w14:paraId="3FD78740">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eastAsia" w:ascii="仿宋_GB2312" w:hAnsi="仿宋_GB2312" w:eastAsia="仿宋_GB2312" w:cs="仿宋_GB2312"/>
          <w:b/>
          <w:sz w:val="32"/>
          <w:szCs w:val="32"/>
        </w:rPr>
      </w:pPr>
      <w:r>
        <w:rPr>
          <w:rFonts w:hint="eastAsia" w:ascii="仿宋_GB2312" w:hAnsi="仿宋_GB2312" w:eastAsia="仿宋_GB2312" w:cs="仿宋_GB2312"/>
          <w:b/>
          <w:bCs/>
          <w:sz w:val="32"/>
          <w:lang w:val="en-US" w:eastAsia="zh-CN"/>
        </w:rPr>
        <w:t>新能源汽车及零部件。</w:t>
      </w:r>
      <w:r>
        <w:rPr>
          <w:rFonts w:hint="eastAsia" w:ascii="仿宋_GB2312" w:hAnsi="仿宋_GB2312" w:eastAsia="仿宋_GB2312" w:cs="仿宋_GB2312"/>
          <w:b w:val="0"/>
          <w:bCs w:val="0"/>
          <w:sz w:val="32"/>
          <w:lang w:val="en-US" w:eastAsia="zh-CN"/>
        </w:rPr>
        <w:t>以新能源汽车为主要发展方向，适当发展新能源低速车、智能网联汽车。立足新能源电池产业发展基础，积极引进整车及核心零部件项目，推进新能源汽车产业链建设。大力推广使用纯电动新能源公交车，适度发展超级电容公交车，尝试使用氢燃料电池公交车。依托红太阳汽车动力总成项目、武汉英泰斯特T-Box智能网联软硬件生产与制造项目，加快动力电池、电机、电控、电驱系统及其他关键零部件的研发及产业化。</w:t>
      </w:r>
      <w:r>
        <w:rPr>
          <w:rFonts w:hint="eastAsia" w:ascii="仿宋_GB2312" w:hAnsi="仿宋_GB2312" w:eastAsia="仿宋_GB2312" w:cs="仿宋_GB2312"/>
          <w:sz w:val="32"/>
          <w:szCs w:val="32"/>
        </w:rPr>
        <w:t>探索发展新能源汽车报废拆解及回收利用。</w:t>
      </w:r>
      <w:bookmarkEnd w:id="241"/>
      <w:bookmarkEnd w:id="244"/>
    </w:p>
    <w:p w14:paraId="2B5D448A">
      <w:pPr>
        <w:spacing w:line="600" w:lineRule="exact"/>
        <w:ind w:firstLine="643" w:firstLineChars="200"/>
        <w:outlineLvl w:val="1"/>
        <w:rPr>
          <w:rFonts w:ascii="楷体_GB2312" w:hAnsi="楷体_GB2312" w:eastAsia="楷体_GB2312" w:cs="楷体_GB2312"/>
          <w:b/>
          <w:bCs/>
          <w:sz w:val="32"/>
          <w:szCs w:val="32"/>
        </w:rPr>
      </w:pPr>
      <w:bookmarkStart w:id="245" w:name="_Toc15565"/>
      <w:bookmarkStart w:id="246" w:name="_Toc23276"/>
      <w:bookmarkStart w:id="247" w:name="_Toc26620"/>
      <w:bookmarkStart w:id="248" w:name="_Toc23774"/>
      <w:bookmarkStart w:id="249" w:name="_Toc18212"/>
      <w:bookmarkStart w:id="250" w:name="_Toc3713"/>
      <w:bookmarkStart w:id="251" w:name="_Toc12680"/>
      <w:bookmarkStart w:id="252" w:name="_Toc23288"/>
      <w:bookmarkStart w:id="253" w:name="_Toc20281"/>
      <w:bookmarkStart w:id="254" w:name="_Toc22460"/>
      <w:bookmarkStart w:id="255" w:name="_Toc17523"/>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六</w:t>
      </w:r>
      <w:r>
        <w:rPr>
          <w:rFonts w:hint="eastAsia" w:ascii="楷体_GB2312" w:hAnsi="楷体_GB2312" w:eastAsia="楷体_GB2312" w:cs="楷体_GB2312"/>
          <w:b/>
          <w:bCs/>
          <w:sz w:val="32"/>
          <w:szCs w:val="32"/>
        </w:rPr>
        <w:t>）纺织服装产业</w:t>
      </w:r>
      <w:bookmarkEnd w:id="245"/>
      <w:bookmarkEnd w:id="246"/>
      <w:bookmarkEnd w:id="247"/>
      <w:bookmarkEnd w:id="248"/>
      <w:bookmarkEnd w:id="249"/>
      <w:bookmarkEnd w:id="250"/>
    </w:p>
    <w:p w14:paraId="00DD1BC8">
      <w:pPr>
        <w:spacing w:line="600" w:lineRule="exact"/>
        <w:ind w:firstLine="643" w:firstLineChars="200"/>
        <w:outlineLvl w:val="2"/>
        <w:rPr>
          <w:rFonts w:ascii="仿宋_GB2312" w:hAnsi="仿宋_GB2312" w:eastAsia="仿宋_GB2312" w:cs="仿宋_GB2312"/>
          <w:b/>
          <w:sz w:val="32"/>
          <w:szCs w:val="32"/>
        </w:rPr>
      </w:pPr>
      <w:r>
        <w:rPr>
          <w:rFonts w:ascii="仿宋_GB2312" w:hAnsi="仿宋_GB2312" w:eastAsia="仿宋_GB2312" w:cs="仿宋_GB2312"/>
          <w:b/>
          <w:sz w:val="32"/>
          <w:szCs w:val="32"/>
        </w:rPr>
        <w:t>1.</w:t>
      </w:r>
      <w:r>
        <w:rPr>
          <w:rFonts w:hint="eastAsia" w:ascii="仿宋_GB2312" w:hAnsi="仿宋_GB2312" w:eastAsia="仿宋_GB2312" w:cs="仿宋_GB2312"/>
          <w:b/>
          <w:sz w:val="32"/>
          <w:szCs w:val="32"/>
        </w:rPr>
        <w:t>发展目标</w:t>
      </w:r>
    </w:p>
    <w:p w14:paraId="1B9838F6">
      <w:pPr>
        <w:spacing w:line="60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到2025年，培育形成一批区域品牌和质量品牌，完善以纺织、服装为重点，以皮革制品、产业用纺织品等为特色的产业体系，打造长三角纺织服装产业转移首选地，培育</w:t>
      </w:r>
      <w:r>
        <w:rPr>
          <w:rFonts w:ascii="仿宋_GB2312" w:hAnsi="仿宋_GB2312" w:eastAsia="仿宋_GB2312" w:cs="仿宋_GB2312"/>
          <w:bCs/>
          <w:sz w:val="32"/>
          <w:szCs w:val="32"/>
        </w:rPr>
        <w:t>10</w:t>
      </w:r>
      <w:r>
        <w:rPr>
          <w:rFonts w:hint="eastAsia" w:ascii="仿宋_GB2312" w:hAnsi="仿宋_GB2312" w:eastAsia="仿宋_GB2312" w:cs="仿宋_GB2312"/>
          <w:bCs/>
          <w:sz w:val="32"/>
          <w:szCs w:val="32"/>
        </w:rPr>
        <w:t>亿元以上企业</w:t>
      </w:r>
      <w:r>
        <w:rPr>
          <w:rFonts w:ascii="仿宋_GB2312" w:hAnsi="仿宋_GB2312" w:eastAsia="仿宋_GB2312" w:cs="仿宋_GB2312"/>
          <w:bCs/>
          <w:sz w:val="32"/>
          <w:szCs w:val="32"/>
        </w:rPr>
        <w:t>10</w:t>
      </w:r>
      <w:r>
        <w:rPr>
          <w:rFonts w:hint="eastAsia" w:ascii="仿宋_GB2312" w:hAnsi="仿宋_GB2312" w:eastAsia="仿宋_GB2312" w:cs="仿宋_GB2312"/>
          <w:bCs/>
          <w:sz w:val="32"/>
          <w:szCs w:val="32"/>
        </w:rPr>
        <w:t>家，总产值达到500亿元。</w:t>
      </w:r>
    </w:p>
    <w:p w14:paraId="65578DA9">
      <w:pPr>
        <w:spacing w:line="600" w:lineRule="exact"/>
        <w:ind w:firstLine="643" w:firstLineChars="200"/>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rPr>
        <w:t>2.发展现状</w:t>
      </w:r>
    </w:p>
    <w:p w14:paraId="02D23C7F">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三五”期间，全市形成了以棉毛纺织、服装为主导，化纤、产业用纺织品、家纺等相关产业共同升级提档的良好格局。初步形成了一批生产规模合理、产品档次较高、市场竞争力较强的区域龙头骨干企业，涌现出京九丝绸、吉祥三宝高科、天威羊绒、银河皮革等知名企业以及“华诗雅蒂”“吉祥三宝”“羚威”等著名商标。在纺纱生产连续化、服装制造自动化等领域已有突破和产业化应用。2020年，全市规模以上纺织工业企业达280家，实现产业产值262.4亿元。</w:t>
      </w:r>
    </w:p>
    <w:p w14:paraId="3FC696E0">
      <w:pPr>
        <w:spacing w:line="600" w:lineRule="exact"/>
        <w:ind w:firstLine="640" w:firstLineChars="200"/>
        <w:rPr>
          <w:rFonts w:ascii="仿宋_GB2312" w:eastAsia="仿宋_GB2312"/>
          <w:color w:val="000000"/>
          <w:sz w:val="32"/>
          <w:szCs w:val="32"/>
        </w:rPr>
      </w:pPr>
      <w:r>
        <w:rPr>
          <w:rFonts w:hint="eastAsia" w:ascii="仿宋_GB2312" w:hAnsi="仿宋_GB2312" w:eastAsia="仿宋_GB2312" w:cs="仿宋_GB2312"/>
          <w:sz w:val="32"/>
          <w:szCs w:val="32"/>
        </w:rPr>
        <w:t>但仍然存在行业产业层次偏低，多数产品处于价值链中低端，高附加值特别是掌握核心技术、有定价权的产品较少，服装、产业用纺织品等精深加工产品占比较低；智能化水平有待提升，多数是由家庭作坊演变而来的小微企业，智能工厂数量较少；企业品牌意识不强，企业总体规模偏小，缺乏产品开发能力，主要靠来料加工和贴牌生产，缺乏竞争优势，低层次同质化的竞争严重；</w:t>
      </w:r>
      <w:r>
        <w:rPr>
          <w:rFonts w:hint="eastAsia" w:ascii="仿宋_GB2312" w:eastAsia="仿宋_GB2312"/>
          <w:color w:val="000000"/>
          <w:sz w:val="32"/>
          <w:szCs w:val="32"/>
        </w:rPr>
        <w:t>循环回收及再利用纺织纤维量占纤维加工量比重较低，绿色制造水平有待提升等问题。</w:t>
      </w:r>
    </w:p>
    <w:p w14:paraId="386B5AF5">
      <w:pPr>
        <w:spacing w:line="600" w:lineRule="exact"/>
        <w:ind w:firstLine="643" w:firstLineChars="200"/>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lang w:val="en-US" w:eastAsia="zh-CN"/>
        </w:rPr>
        <w:t>3</w:t>
      </w:r>
      <w:r>
        <w:rPr>
          <w:rFonts w:hint="eastAsia" w:ascii="仿宋_GB2312" w:hAnsi="仿宋_GB2312" w:eastAsia="仿宋_GB2312" w:cs="仿宋_GB2312"/>
          <w:b/>
          <w:sz w:val="32"/>
          <w:szCs w:val="32"/>
        </w:rPr>
        <w:t>.发展思路</w:t>
      </w:r>
    </w:p>
    <w:p w14:paraId="67272581">
      <w:pPr>
        <w:spacing w:line="60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（1）推动设计、品牌、制造一体化。提升纺织服装设计水平。</w:t>
      </w:r>
      <w:r>
        <w:rPr>
          <w:rFonts w:hint="eastAsia" w:ascii="仿宋_GB2312" w:hAnsi="仿宋_GB2312" w:eastAsia="仿宋_GB2312" w:cs="仿宋_GB2312"/>
          <w:sz w:val="32"/>
          <w:szCs w:val="32"/>
        </w:rPr>
        <w:t>支持纺织服装企业加大研发投入，采用国际国内先进设计技术，引入知名创意设计团队，提升时尚纺织服装的创意设计水平。扩大纺织服装行业品牌影响力。</w:t>
      </w:r>
      <w:r>
        <w:rPr>
          <w:rFonts w:hint="eastAsia" w:ascii="仿宋_GB2312" w:hAnsi="仿宋_GB2312" w:eastAsia="仿宋_GB2312" w:cs="仿宋_GB2312"/>
          <w:b/>
          <w:bCs/>
          <w:sz w:val="32"/>
          <w:szCs w:val="32"/>
        </w:rPr>
        <w:t>引导企业实施品牌战略。</w:t>
      </w:r>
      <w:r>
        <w:rPr>
          <w:rFonts w:hint="eastAsia" w:ascii="仿宋_GB2312" w:hAnsi="仿宋_GB2312" w:eastAsia="仿宋_GB2312" w:cs="仿宋_GB2312"/>
          <w:sz w:val="32"/>
          <w:szCs w:val="32"/>
        </w:rPr>
        <w:t>提高品牌营销能力，培育一批知名自主知识产权纺织服装产品，推动由代工贴牌向自主品牌转变；参与和举办高端时尚品牌活动，推动时尚文化与产品研发、设计、制造、品牌、营销等融合发展；积极发展模块化、柔性化生产等大规模个性化定制模式；培育发展电商、跨境电商、在线体验等新业态。</w:t>
      </w:r>
      <w:r>
        <w:rPr>
          <w:rFonts w:hint="eastAsia" w:ascii="仿宋_GB2312" w:hAnsi="仿宋_GB2312" w:eastAsia="仿宋_GB2312" w:cs="仿宋_GB2312"/>
          <w:b/>
          <w:bCs/>
          <w:sz w:val="32"/>
          <w:szCs w:val="32"/>
        </w:rPr>
        <w:t>推动纺织服装集群化发展。</w:t>
      </w:r>
      <w:r>
        <w:rPr>
          <w:rFonts w:hint="eastAsia" w:ascii="仿宋_GB2312" w:hAnsi="仿宋_GB2312" w:eastAsia="仿宋_GB2312" w:cs="仿宋_GB2312"/>
          <w:sz w:val="32"/>
          <w:szCs w:val="32"/>
        </w:rPr>
        <w:t>引导龙头企业拓展纺织服装上下游产业链，鼓励企业强强联合、强弱合作，开展兼并重组，进一步提高产业集中度；以龙头骨干企业为引领，强化中小纺织服装企业配套支撑和产业协同能力，依托现有产业集聚区基础优势，推动产业集群化发展。</w:t>
      </w:r>
    </w:p>
    <w:p w14:paraId="2CD9555F">
      <w:pPr>
        <w:pStyle w:val="23"/>
        <w:spacing w:after="0" w:line="600" w:lineRule="exact"/>
        <w:ind w:left="0" w:leftChars="0" w:firstLine="643"/>
        <w:rPr>
          <w:rFonts w:ascii="仿宋_GB2312" w:hAnsi="仿宋_GB2312" w:eastAsia="仿宋_GB2312" w:cs="仿宋_GB2312"/>
          <w:sz w:val="32"/>
          <w:szCs w:val="32"/>
        </w:rPr>
      </w:pPr>
      <w:r>
        <w:rPr>
          <w:rFonts w:hint="eastAsia" w:ascii="仿宋_GB2312" w:hAnsi="仿宋_GB2312" w:eastAsia="仿宋_GB2312" w:cs="仿宋_GB2312"/>
          <w:b/>
          <w:bCs/>
          <w:sz w:val="32"/>
          <w:szCs w:val="32"/>
        </w:rPr>
        <w:t>（2）提高纺织服装产业链整体竞争力。</w:t>
      </w:r>
      <w:r>
        <w:rPr>
          <w:rFonts w:hint="eastAsia" w:ascii="仿宋_GB2312" w:hAnsi="仿宋_GB2312" w:eastAsia="仿宋_GB2312" w:cs="仿宋_GB2312"/>
          <w:sz w:val="32"/>
          <w:szCs w:val="32"/>
        </w:rPr>
        <w:t>根据产业发展实际需求，适度引进超纤等原材料</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sz w:val="32"/>
          <w:szCs w:val="32"/>
        </w:rPr>
        <w:t>纽扣、吊牌等辅料、配件供应商，鼓励企业深入研究消费需求和时尚潮流，围绕花色、品种、款式、功能等加强时尚新产品开发，打造差异化特色产品，扩大中高端纺织服装产品供给，优化产品供给结构。推动高性能纤维材料及纺织品、纺织基增强复合材料、高温烟尘滤料等产业用纺织品向轨道交通、航空航天等高端应用领域延伸。依托龙头企业，在服装家纺、纺织织造产品等领域形成一批数字化工厂示范项目；大力发展专业化品牌营销、纺织服装会展等，着力提升品牌影响力。大力引进返乡人才，着力培育本土人才，建立一批涵盖时装设计师、裁剪师、纸样师、制版师、工艺技师等纺织服装高级技能人才的队伍。</w:t>
      </w:r>
    </w:p>
    <w:p w14:paraId="7516A210">
      <w:pPr>
        <w:pStyle w:val="23"/>
        <w:spacing w:after="0" w:line="600" w:lineRule="exact"/>
        <w:ind w:left="0" w:leftChars="0" w:firstLine="643"/>
        <w:rPr>
          <w:rFonts w:ascii="仿宋_GB2312" w:hAnsi="仿宋_GB2312" w:eastAsia="仿宋_GB2312" w:cs="仿宋_GB2312"/>
          <w:sz w:val="32"/>
          <w:szCs w:val="32"/>
        </w:rPr>
      </w:pPr>
      <w:r>
        <w:rPr>
          <w:rFonts w:hint="eastAsia" w:ascii="仿宋_GB2312" w:hAnsi="仿宋_GB2312" w:eastAsia="仿宋_GB2312" w:cs="仿宋_GB2312"/>
          <w:b/>
          <w:bCs/>
          <w:sz w:val="32"/>
          <w:szCs w:val="32"/>
        </w:rPr>
        <w:t>（3）推动纺织服装产业绿色升级。实施纺织原料绿色制造。</w:t>
      </w:r>
      <w:r>
        <w:rPr>
          <w:rFonts w:hint="eastAsia" w:ascii="仿宋_GB2312" w:hAnsi="仿宋_GB2312" w:eastAsia="仿宋_GB2312" w:cs="仿宋_GB2312"/>
          <w:sz w:val="32"/>
          <w:szCs w:val="32"/>
        </w:rPr>
        <w:t>根据纺织原料需求程度及资源供应，大力发展溶剂法纤维素纤维、聚乳酸纤维及生物基聚酰胺纤维、资源循环利用化学纤维等。</w:t>
      </w:r>
      <w:r>
        <w:rPr>
          <w:rFonts w:hint="eastAsia" w:ascii="仿宋_GB2312" w:hAnsi="仿宋_GB2312" w:eastAsia="仿宋_GB2312" w:cs="仿宋_GB2312"/>
          <w:b/>
          <w:bCs/>
          <w:sz w:val="32"/>
          <w:szCs w:val="32"/>
        </w:rPr>
        <w:t>开展绿色纺织原料深加工。</w:t>
      </w:r>
      <w:r>
        <w:rPr>
          <w:rFonts w:hint="eastAsia" w:ascii="仿宋_GB2312" w:hAnsi="仿宋_GB2312" w:eastAsia="仿宋_GB2312" w:cs="仿宋_GB2312"/>
          <w:sz w:val="32"/>
          <w:szCs w:val="32"/>
        </w:rPr>
        <w:t>以再生绿色制造纤维为主材，辅以其他化纤材料，拓展再生绿色制造纤维的应用，重点开展绿色可降解产业用纺织品，提高一次性可降解医卫非织造产品技术水平和应用比例，推进在生态农业、水土保持、环境治理方面的产业示范应用。</w:t>
      </w:r>
      <w:r>
        <w:rPr>
          <w:rFonts w:hint="eastAsia" w:ascii="仿宋_GB2312" w:hAnsi="仿宋_GB2312" w:eastAsia="仿宋_GB2312" w:cs="仿宋_GB2312"/>
          <w:b/>
          <w:bCs/>
          <w:sz w:val="32"/>
          <w:szCs w:val="32"/>
        </w:rPr>
        <w:t>推进纺织制品回收再利用循环经济。</w:t>
      </w:r>
      <w:r>
        <w:rPr>
          <w:rFonts w:hint="eastAsia" w:ascii="仿宋_GB2312" w:hAnsi="仿宋_GB2312" w:eastAsia="仿宋_GB2312" w:cs="仿宋_GB2312"/>
          <w:sz w:val="32"/>
          <w:szCs w:val="32"/>
        </w:rPr>
        <w:t>重点实施废旧纤维制品的高效分选回收加工技术，回收产品延伸加工产业。</w:t>
      </w:r>
      <w:r>
        <w:rPr>
          <w:rFonts w:hint="eastAsia" w:ascii="仿宋_GB2312" w:hAnsi="仿宋_GB2312" w:eastAsia="仿宋_GB2312" w:cs="仿宋_GB2312"/>
          <w:b/>
          <w:bCs/>
          <w:sz w:val="32"/>
          <w:szCs w:val="32"/>
        </w:rPr>
        <w:t>大力实施节能减排新技术应用。</w:t>
      </w:r>
      <w:r>
        <w:rPr>
          <w:rFonts w:hint="eastAsia" w:ascii="仿宋_GB2312" w:hAnsi="仿宋_GB2312" w:eastAsia="仿宋_GB2312" w:cs="仿宋_GB2312"/>
          <w:sz w:val="32"/>
          <w:szCs w:val="32"/>
        </w:rPr>
        <w:t>鼓励拟建设的印染项目应用丝光淡碱回收技术及使用新型绿色环保染化料助剂；在服装企业开展改善装置推广技术；在纺纱企业开展能源优化技术；在针织企业开展针织物平幅水洗技术及中水回用技术。</w:t>
      </w:r>
    </w:p>
    <w:p w14:paraId="45CA191A">
      <w:pPr>
        <w:pStyle w:val="23"/>
        <w:spacing w:after="0" w:line="600" w:lineRule="exact"/>
        <w:ind w:left="0" w:leftChars="0" w:firstLine="643"/>
        <w:rPr>
          <w:rFonts w:ascii="仿宋_GB2312" w:hAnsi="仿宋_GB2312" w:eastAsia="仿宋_GB2312" w:cs="仿宋_GB2312"/>
          <w:sz w:val="32"/>
          <w:szCs w:val="32"/>
        </w:rPr>
      </w:pPr>
      <w:r>
        <w:rPr>
          <w:rFonts w:hint="eastAsia" w:ascii="仿宋_GB2312" w:hAnsi="仿宋_GB2312" w:eastAsia="仿宋_GB2312" w:cs="仿宋_GB2312"/>
          <w:b/>
          <w:bCs/>
          <w:sz w:val="32"/>
          <w:szCs w:val="32"/>
        </w:rPr>
        <w:t>（4）推进纺织服装产业智能制造。加快新一代信息技术与纺织服装产业深度融合。</w:t>
      </w:r>
      <w:r>
        <w:rPr>
          <w:rFonts w:hint="eastAsia" w:ascii="仿宋_GB2312" w:hAnsi="仿宋_GB2312" w:eastAsia="仿宋_GB2312" w:cs="仿宋_GB2312"/>
          <w:sz w:val="32"/>
          <w:szCs w:val="32"/>
        </w:rPr>
        <w:t>广泛应用互联网思维和技术，发挥其在生产要素配置中的优化和集成作用，实现从采购、生产研发、管理、销售及物流等环节的互联互通，促进物联网、大数据在纺织服装产业中的融合创新，形成全市纺织服装行业新的产业形态和商业模式。</w:t>
      </w:r>
      <w:r>
        <w:rPr>
          <w:rFonts w:hint="eastAsia" w:ascii="仿宋_GB2312" w:hAnsi="仿宋_GB2312" w:eastAsia="仿宋_GB2312" w:cs="仿宋_GB2312"/>
          <w:b/>
          <w:bCs/>
          <w:sz w:val="32"/>
          <w:szCs w:val="32"/>
        </w:rPr>
        <w:t>打造纺织服装智能制造示范企业。</w:t>
      </w:r>
      <w:r>
        <w:rPr>
          <w:rFonts w:hint="eastAsia" w:ascii="仿宋_GB2312" w:hAnsi="仿宋_GB2312" w:eastAsia="仿宋_GB2312" w:cs="仿宋_GB2312"/>
          <w:sz w:val="32"/>
          <w:szCs w:val="32"/>
        </w:rPr>
        <w:t>组织实施纺织服装产业智能制造试点示范行动，推广CAT/CAD/CAM集成系统、产品数据管理（</w:t>
      </w:r>
      <w:r>
        <w:rPr>
          <w:rFonts w:ascii="仿宋_GB2312" w:hAnsi="仿宋_GB2312" w:eastAsia="仿宋_GB2312" w:cs="仿宋_GB2312"/>
          <w:sz w:val="32"/>
          <w:szCs w:val="32"/>
        </w:rPr>
        <w:t>PDM</w:t>
      </w:r>
      <w:r>
        <w:rPr>
          <w:rFonts w:hint="eastAsia" w:ascii="仿宋_GB2312" w:hAnsi="仿宋_GB2312" w:eastAsia="仿宋_GB2312" w:cs="仿宋_GB2312"/>
          <w:sz w:val="32"/>
          <w:szCs w:val="32"/>
        </w:rPr>
        <w:t>）、生产制造执行系统（MES）等软件系统的应用，建设纺纱、毛纺等智能制造示范线，</w:t>
      </w:r>
      <w:r>
        <w:rPr>
          <w:rFonts w:hint="eastAsia" w:ascii="仿宋_GB2312" w:hAnsi="仿宋_GB2312" w:eastAsia="仿宋_GB2312" w:cs="仿宋_GB2312"/>
          <w:sz w:val="32"/>
          <w:szCs w:val="32"/>
          <w:lang w:val="en-US" w:eastAsia="zh-CN"/>
        </w:rPr>
        <w:t>培育</w:t>
      </w:r>
      <w:r>
        <w:rPr>
          <w:rFonts w:hint="eastAsia" w:ascii="仿宋_GB2312" w:hAnsi="仿宋_GB2312" w:eastAsia="仿宋_GB2312" w:cs="仿宋_GB2312"/>
          <w:sz w:val="32"/>
          <w:szCs w:val="32"/>
        </w:rPr>
        <w:t>一批“智能工厂”示范企业。完善</w:t>
      </w:r>
      <w:r>
        <w:rPr>
          <w:rFonts w:hint="eastAsia" w:ascii="仿宋_GB2312" w:hAnsi="仿宋_GB2312" w:eastAsia="仿宋_GB2312" w:cs="仿宋_GB2312"/>
          <w:b/>
          <w:bCs/>
          <w:sz w:val="32"/>
          <w:szCs w:val="32"/>
        </w:rPr>
        <w:t>纺织服装行业服务支撑平台。</w:t>
      </w:r>
      <w:r>
        <w:rPr>
          <w:rFonts w:hint="eastAsia" w:ascii="仿宋_GB2312" w:hAnsi="仿宋_GB2312" w:eastAsia="仿宋_GB2312" w:cs="仿宋_GB2312"/>
          <w:sz w:val="32"/>
          <w:szCs w:val="32"/>
        </w:rPr>
        <w:t>围绕创新、质量、数字化、销售等服务内容，积极推进电商服务平台、技术服务平台、创意服务平台、检测服务平台、工业互联网平台、人力资源平台六大平台建设，</w:t>
      </w:r>
      <w:r>
        <w:rPr>
          <w:rFonts w:ascii="Times New Roman" w:hAnsi="Times New Roman" w:eastAsia="仿宋_GB2312"/>
          <w:color w:val="000000"/>
          <w:sz w:val="32"/>
          <w:szCs w:val="32"/>
        </w:rPr>
        <w:t>提高公共服务平台的专业化和市场化水平。</w:t>
      </w:r>
    </w:p>
    <w:p w14:paraId="506B6D23">
      <w:pPr>
        <w:spacing w:line="600" w:lineRule="exact"/>
        <w:ind w:firstLine="643" w:firstLineChars="200"/>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lang w:val="en-US" w:eastAsia="zh-CN"/>
        </w:rPr>
        <w:t>4</w:t>
      </w:r>
      <w:r>
        <w:rPr>
          <w:rFonts w:ascii="仿宋_GB2312" w:hAnsi="仿宋_GB2312" w:eastAsia="仿宋_GB2312" w:cs="仿宋_GB2312"/>
          <w:b/>
          <w:sz w:val="32"/>
          <w:szCs w:val="32"/>
        </w:rPr>
        <w:t>.发展重点</w:t>
      </w:r>
    </w:p>
    <w:p w14:paraId="480F60F4">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（1）重点发展</w:t>
      </w:r>
    </w:p>
    <w:p w14:paraId="00AD364F">
      <w:pPr>
        <w:spacing w:line="60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服装家纺。</w:t>
      </w:r>
      <w:r>
        <w:rPr>
          <w:rFonts w:hint="eastAsia" w:ascii="仿宋_GB2312" w:hAnsi="仿宋_GB2312" w:eastAsia="仿宋_GB2312" w:cs="仿宋_GB2312"/>
          <w:sz w:val="32"/>
          <w:szCs w:val="32"/>
        </w:rPr>
        <w:t>重点引导家纺产品向系列化、标准化、艺术化、时尚化方向发展，重点发展系列袜业、针织服装、职业装、衬衫、丝绸、皮革服饰等产品。依托豹子头服饰、天威羊绒等企业，重点发展系列真丝服装、泳装、高档衬衫、羊毛衫、校服等，提升功能性成衣综合性能。依托阜南盈通纺织印染产业园、会龙屹步坊袜业产业园、王堰镇袜业产业园、临泉轻纺产业园、东方国际集团毛纺织产业园，加速我市周边县城相关的袜业、鞋帽业等现代家纺产业的形成和完善，细分门类，突出特色。依托银河皮革、锦荣皮业等企业以及临泉鲖城皮革产业园等平台，加快研发高档次、高附加值的羊皮服装革、鞋面革，增加牛皮革、箱包革、手套革、家居用革、汽车装饰用革等产品，推动发展飞行服、军用手套、迷彩服等军用产品，促进军民融合，形成集制革、皮具加工、商贸、仓储为一体的完整产业链。依托三宝针织、京九丝绸、创文纺织、梦圆家居等现有家纺企业，瞄准多元化的市场需求，重点发展系列化床上用品、沙发用品和装饰布艺。</w:t>
      </w:r>
    </w:p>
    <w:p w14:paraId="0D6215F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（2）大力发展</w:t>
      </w:r>
    </w:p>
    <w:p w14:paraId="0F9C56CE">
      <w:pPr>
        <w:spacing w:line="60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新型纺织原料。</w:t>
      </w:r>
      <w:r>
        <w:rPr>
          <w:rFonts w:hint="eastAsia" w:ascii="仿宋_GB2312" w:hAnsi="仿宋_GB2312" w:eastAsia="仿宋_GB2312" w:cs="仿宋_GB2312"/>
          <w:sz w:val="32"/>
          <w:szCs w:val="32"/>
        </w:rPr>
        <w:t>依托金吴再生资源、双帆高纤、天助纺织等企业，重点发展高性能化学纤维。支持企业开发耐强腐蚀低磨损、耐高温耐辐射、高强度高模量高弹性、反渗透、导光导电以及多种医学功能的化学纤维。发展涤纶长短纤仿棉技术，积极推广纤维纺丝原液着色技术，开发生产功能型、环保型差别化纤维。加快生物基聚酯、聚酰胺高效聚合纺丝技术、高品质聚乳酸纤维及纺织品制备技术等开发及产业化应用。培育新型纺织纤维材料产业，推动溶剂法纤维素纤维、聚乳酸纤维、聚酰胺纤维等新型生物基化学纤维的本地规模化生产，提高新型纺织纤维材料技术水平。</w:t>
      </w:r>
    </w:p>
    <w:p w14:paraId="2D8A45A1">
      <w:pPr>
        <w:pStyle w:val="14"/>
        <w:spacing w:after="0" w:line="600" w:lineRule="exact"/>
        <w:ind w:left="0" w:leftChars="0" w:firstLine="643"/>
        <w:rPr>
          <w:rFonts w:ascii="仿宋_GB2312" w:hAnsi="仿宋_GB2312" w:cs="仿宋_GB2312"/>
          <w:szCs w:val="32"/>
        </w:rPr>
      </w:pPr>
      <w:r>
        <w:rPr>
          <w:rFonts w:hint="eastAsia" w:ascii="仿宋_GB2312" w:hAnsi="仿宋_GB2312" w:cs="仿宋_GB2312"/>
          <w:b/>
          <w:bCs/>
          <w:szCs w:val="32"/>
        </w:rPr>
        <w:t>纺织织造产品。</w:t>
      </w:r>
      <w:r>
        <w:rPr>
          <w:rFonts w:hint="eastAsia" w:ascii="仿宋_GB2312" w:hAnsi="仿宋_GB2312" w:cs="仿宋_GB2312"/>
          <w:szCs w:val="32"/>
        </w:rPr>
        <w:t>依托</w:t>
      </w:r>
      <w:r>
        <w:rPr>
          <w:rFonts w:hint="eastAsia" w:ascii="仿宋_GB2312" w:hAnsi="仿宋_GB2312" w:cs="仿宋_GB2312"/>
          <w:szCs w:val="32"/>
          <w:lang w:val="en-US" w:eastAsia="zh-CN"/>
        </w:rPr>
        <w:t>吉祥三宝高科</w:t>
      </w:r>
      <w:r>
        <w:rPr>
          <w:rFonts w:hint="eastAsia" w:ascii="仿宋_GB2312" w:hAnsi="仿宋_GB2312" w:cs="仿宋_GB2312"/>
          <w:szCs w:val="32"/>
        </w:rPr>
        <w:t>、恒泰纺织、华宇纺织</w:t>
      </w:r>
      <w:r>
        <w:rPr>
          <w:rFonts w:hint="eastAsia" w:ascii="仿宋_GB2312" w:hAnsi="仿宋_GB2312" w:cs="仿宋_GB2312"/>
          <w:szCs w:val="32"/>
          <w:lang w:eastAsia="zh-CN"/>
        </w:rPr>
        <w:t>、</w:t>
      </w:r>
      <w:r>
        <w:rPr>
          <w:rFonts w:hint="eastAsia" w:ascii="仿宋_GB2312" w:hAnsi="仿宋_GB2312" w:cs="仿宋_GB2312"/>
          <w:szCs w:val="32"/>
          <w:lang w:val="en-US" w:eastAsia="zh-CN"/>
        </w:rPr>
        <w:t>天助纺织</w:t>
      </w:r>
      <w:r>
        <w:rPr>
          <w:rFonts w:hint="eastAsia" w:ascii="仿宋_GB2312" w:hAnsi="仿宋_GB2312" w:cs="仿宋_GB2312"/>
          <w:szCs w:val="32"/>
        </w:rPr>
        <w:t>等企业，重点发展纺纱、针织、机织等面料，包括大提花面料、牛仔布面料、时装面料、长丝面料等，扩大棉混纺纱、纤维混纺纱、功能化纤混纺等高品质纺织面料生产。重点发展多品种的色纺纱、高支纱，开发织造多纤维组合、多组织变化、多规格系列、多功能整理的服装、装饰织物和家纺用面料。利用再生棉、再生涤纶、再生绢丝及精梳亚麻等原料，开发具有特殊外观的环保节能新产品。加强新型原料与新型织造技术的结合，纺纱织造产品继续向多组分、差别化、功能性和绿色环保方向发展。</w:t>
      </w:r>
    </w:p>
    <w:p w14:paraId="64F6CD54">
      <w:pPr>
        <w:pStyle w:val="14"/>
        <w:spacing w:after="0" w:line="600" w:lineRule="exact"/>
        <w:ind w:left="0" w:leftChars="0" w:firstLine="643"/>
        <w:rPr>
          <w:rFonts w:ascii="仿宋_GB2312" w:hAnsi="仿宋_GB2312" w:cs="仿宋_GB2312"/>
          <w:szCs w:val="32"/>
        </w:rPr>
      </w:pPr>
      <w:r>
        <w:rPr>
          <w:rFonts w:hint="eastAsia" w:ascii="仿宋_GB2312" w:hAnsi="仿宋_GB2312" w:cs="仿宋_GB2312"/>
          <w:b/>
          <w:bCs/>
          <w:szCs w:val="32"/>
        </w:rPr>
        <w:t>产业用纺织品。</w:t>
      </w:r>
      <w:r>
        <w:rPr>
          <w:rFonts w:hint="eastAsia" w:ascii="仿宋_GB2312" w:hAnsi="仿宋_GB2312" w:cs="仿宋_GB2312"/>
          <w:szCs w:val="32"/>
        </w:rPr>
        <w:t>重点发展高端产业用纺织材料、大健康用产业纺织品、新型绳网等。依托太平洋特种网业等企业，发展特种造纸用网和工业滤布，推进产品在造纸、食品等领域推广应用。围绕我市基础设施建设需求，推进临泉锦恰碳玻墙体网格布、风电叶片用玻璃纤维布等纺织新材料应用。依托</w:t>
      </w:r>
      <w:r>
        <w:rPr>
          <w:rFonts w:hint="eastAsia" w:ascii="仿宋_GB2312" w:hAnsi="仿宋_GB2312" w:cs="仿宋_GB2312"/>
          <w:szCs w:val="32"/>
          <w:lang w:val="en-US" w:eastAsia="zh-CN"/>
        </w:rPr>
        <w:t>吉祥三宝高科</w:t>
      </w:r>
      <w:r>
        <w:rPr>
          <w:rFonts w:hint="eastAsia" w:ascii="仿宋_GB2312" w:hAnsi="仿宋_GB2312" w:cs="仿宋_GB2312"/>
          <w:szCs w:val="32"/>
        </w:rPr>
        <w:t>，重点发展针对老年多发性疾病的康复、缓解和护理类功能型纺织品，以及具有健康体征监测和环境响应自调节功能的养老护理用纺织品，支持发展可吸收缝合线、高端功能型生物医用敷料等一次性医用纺织品。采用新技术改造传统绳网加工业，积极开发以尼龙、碳纤维等高性能纤维或复合纤维为原料的耐腐蚀、高强度的绳、纱网等高附加值产品。</w:t>
      </w:r>
    </w:p>
    <w:p w14:paraId="59171CD6">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（3）培育发展</w:t>
      </w:r>
    </w:p>
    <w:p w14:paraId="76BA534C">
      <w:pPr>
        <w:spacing w:line="60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绿色印染。</w:t>
      </w:r>
      <w:r>
        <w:rPr>
          <w:rFonts w:hint="eastAsia" w:ascii="仿宋_GB2312" w:hAnsi="仿宋_GB2312" w:eastAsia="仿宋_GB2312" w:cs="仿宋_GB2312"/>
          <w:sz w:val="32"/>
          <w:szCs w:val="32"/>
        </w:rPr>
        <w:t>依托盈通纺织等企业，加强印染整理技术研发，推动使用先进的低温快速前处理、棉冷轧堆、冷转移印花、生物酶退浆等技术，优化毛、麻、丝等独特资源的纺织</w:t>
      </w:r>
      <w:r>
        <w:rPr>
          <w:rFonts w:hint="eastAsia" w:ascii="仿宋_GB2312" w:hAnsi="仿宋_GB2312" w:eastAsia="仿宋_GB2312" w:cs="仿宋_GB2312"/>
          <w:sz w:val="32"/>
          <w:szCs w:val="32"/>
          <w:lang w:val="en-US" w:eastAsia="zh-CN"/>
        </w:rPr>
        <w:t>印</w:t>
      </w:r>
      <w:r>
        <w:rPr>
          <w:rFonts w:hint="eastAsia" w:ascii="仿宋_GB2312" w:hAnsi="仿宋_GB2312" w:eastAsia="仿宋_GB2312" w:cs="仿宋_GB2312"/>
          <w:sz w:val="32"/>
          <w:szCs w:val="32"/>
        </w:rPr>
        <w:t>染加工技术。采用电脑测色配色、制网、染化料自动配送、自动调浆、在线监测等先进印染技术提高服装面料质量的稳定性以及精细化、个性化加工水平。选择有发展印染产业条件的</w:t>
      </w:r>
      <w:r>
        <w:rPr>
          <w:rFonts w:hint="eastAsia" w:ascii="仿宋_GB2312" w:hAnsi="仿宋_GB2312" w:eastAsia="仿宋_GB2312" w:cs="仿宋_GB2312"/>
          <w:sz w:val="32"/>
          <w:szCs w:val="32"/>
          <w:lang w:val="en-US" w:eastAsia="zh-CN"/>
        </w:rPr>
        <w:t>地区</w:t>
      </w:r>
      <w:r>
        <w:rPr>
          <w:rFonts w:hint="eastAsia" w:ascii="仿宋_GB2312" w:hAnsi="仿宋_GB2312" w:eastAsia="仿宋_GB2312" w:cs="仿宋_GB2312"/>
          <w:sz w:val="32"/>
          <w:szCs w:val="32"/>
        </w:rPr>
        <w:t>，鼓励符合行业最高环保要求、不构成任何污染的企业采用数字化、智能化和节能减排型先进印染技术和生产线，采用国家鼓励发展的纱线染色、纤维染色等技术，适度争取印染增量。</w:t>
      </w:r>
    </w:p>
    <w:p w14:paraId="78BB4CF1">
      <w:pPr>
        <w:pStyle w:val="14"/>
        <w:spacing w:after="0" w:line="600" w:lineRule="exact"/>
        <w:ind w:left="0" w:leftChars="0" w:firstLine="643"/>
      </w:pPr>
      <w:r>
        <w:rPr>
          <w:rFonts w:hint="eastAsia" w:ascii="仿宋_GB2312" w:hAnsi="仿宋_GB2312" w:cs="仿宋_GB2312"/>
          <w:b/>
          <w:bCs/>
          <w:szCs w:val="32"/>
        </w:rPr>
        <w:t>废旧纺织品回收利用。</w:t>
      </w:r>
      <w:r>
        <w:rPr>
          <w:rFonts w:hint="eastAsia" w:ascii="仿宋_GB2312" w:hAnsi="仿宋_GB2312" w:cs="仿宋_GB2312"/>
          <w:szCs w:val="32"/>
        </w:rPr>
        <w:t>依托金吴再生资源利用等企业，积极构建从原料、生产、营销、消费到回收再利用的纺织循环体系。支持利用废旧纺织品、废旧瓶片生产再生纱线、再生长丝、再生短纤等，提高废旧纺织品在土工建筑、建材、汽车、家居装潢等领域的再利用水平。积极推广应用零级回收、初级回收、能量回收、物理回收、化学回收等废旧纺织品回收再利用方法，进一步减少废弃物产生及排放，实现少排放、零排放，促进资源循环再生利用。</w:t>
      </w:r>
    </w:p>
    <w:p w14:paraId="3475D74D">
      <w:pPr>
        <w:spacing w:line="600" w:lineRule="exact"/>
        <w:ind w:firstLine="643" w:firstLineChars="200"/>
        <w:outlineLvl w:val="1"/>
        <w:rPr>
          <w:rFonts w:ascii="楷体_GB2312" w:hAnsi="楷体_GB2312" w:eastAsia="楷体_GB2312" w:cs="楷体_GB2312"/>
          <w:b/>
          <w:bCs/>
          <w:sz w:val="32"/>
          <w:szCs w:val="32"/>
        </w:rPr>
      </w:pPr>
      <w:bookmarkStart w:id="256" w:name="_Toc4428"/>
      <w:bookmarkStart w:id="257" w:name="_Toc32168"/>
      <w:bookmarkStart w:id="258" w:name="_Toc19121"/>
      <w:bookmarkStart w:id="259" w:name="_Toc9459"/>
      <w:bookmarkStart w:id="260" w:name="_Toc16229"/>
      <w:bookmarkStart w:id="261" w:name="_Toc23897"/>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七</w:t>
      </w:r>
      <w:r>
        <w:rPr>
          <w:rFonts w:hint="eastAsia" w:ascii="楷体_GB2312" w:hAnsi="楷体_GB2312" w:eastAsia="楷体_GB2312" w:cs="楷体_GB2312"/>
          <w:b/>
          <w:bCs/>
          <w:sz w:val="32"/>
          <w:szCs w:val="32"/>
        </w:rPr>
        <w:t>）绿色建筑建材产业</w:t>
      </w:r>
      <w:bookmarkEnd w:id="256"/>
      <w:bookmarkEnd w:id="257"/>
      <w:bookmarkEnd w:id="258"/>
      <w:bookmarkEnd w:id="259"/>
      <w:bookmarkEnd w:id="260"/>
      <w:bookmarkEnd w:id="261"/>
    </w:p>
    <w:p w14:paraId="6CE4508D">
      <w:pPr>
        <w:spacing w:line="600" w:lineRule="exact"/>
        <w:ind w:firstLine="643" w:firstLineChars="200"/>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rPr>
        <w:t>1.发展目标</w:t>
      </w:r>
    </w:p>
    <w:p w14:paraId="6AC3118E">
      <w:pPr>
        <w:spacing w:line="600" w:lineRule="exact"/>
        <w:ind w:firstLine="640" w:firstLineChars="200"/>
        <w:rPr>
          <w:rFonts w:ascii="Times New Roman" w:hAnsi="Times New Roman" w:eastAsia="仿宋_GB2312" w:cs="仿宋_GB2312"/>
          <w:color w:val="000000" w:themeColor="text1"/>
          <w:sz w:val="32"/>
          <w:szCs w:val="32"/>
          <w14:textFill>
            <w14:solidFill>
              <w14:schemeClr w14:val="tx1"/>
            </w14:solidFill>
          </w14:textFill>
        </w:rPr>
      </w:pPr>
      <w:r>
        <w:rPr>
          <w:rFonts w:ascii="Times New Roman" w:hAnsi="Times New Roman" w:eastAsia="仿宋_GB2312" w:cs="仿宋_GB2312"/>
          <w:color w:val="000000" w:themeColor="text1"/>
          <w:sz w:val="32"/>
          <w:szCs w:val="32"/>
          <w14:textFill>
            <w14:solidFill>
              <w14:schemeClr w14:val="tx1"/>
            </w14:solidFill>
          </w14:textFill>
        </w:rPr>
        <w:t>紧抓</w:t>
      </w:r>
      <w:r>
        <w:rPr>
          <w:rFonts w:hint="eastAsia" w:ascii="Times New Roman" w:hAnsi="Times New Roman" w:eastAsia="仿宋_GB2312" w:cs="仿宋_GB2312"/>
          <w:color w:val="000000" w:themeColor="text1"/>
          <w:sz w:val="32"/>
          <w:szCs w:val="32"/>
          <w14:textFill>
            <w14:solidFill>
              <w14:schemeClr w14:val="tx1"/>
            </w14:solidFill>
          </w14:textFill>
        </w:rPr>
        <w:t>“两新一重”建设</w:t>
      </w:r>
      <w:r>
        <w:rPr>
          <w:rFonts w:ascii="Times New Roman" w:hAnsi="Times New Roman" w:eastAsia="仿宋_GB2312" w:cs="仿宋_GB2312"/>
          <w:color w:val="000000" w:themeColor="text1"/>
          <w:sz w:val="32"/>
          <w:szCs w:val="32"/>
          <w14:textFill>
            <w14:solidFill>
              <w14:schemeClr w14:val="tx1"/>
            </w14:solidFill>
          </w14:textFill>
        </w:rPr>
        <w:t>重大机遇，</w:t>
      </w:r>
      <w:r>
        <w:rPr>
          <w:rFonts w:hint="eastAsia" w:ascii="Times New Roman" w:hAnsi="Times New Roman" w:eastAsia="仿宋_GB2312" w:cs="仿宋_GB2312"/>
          <w:color w:val="000000" w:themeColor="text1"/>
          <w:sz w:val="32"/>
          <w:szCs w:val="32"/>
          <w14:textFill>
            <w14:solidFill>
              <w14:schemeClr w14:val="tx1"/>
            </w14:solidFill>
          </w14:textFill>
        </w:rPr>
        <w:t>激发</w:t>
      </w:r>
      <w:r>
        <w:rPr>
          <w:rFonts w:ascii="Times New Roman" w:hAnsi="Times New Roman" w:eastAsia="仿宋_GB2312" w:cs="仿宋_GB2312"/>
          <w:color w:val="000000" w:themeColor="text1"/>
          <w:sz w:val="32"/>
          <w:szCs w:val="32"/>
          <w14:textFill>
            <w14:solidFill>
              <w14:schemeClr w14:val="tx1"/>
            </w14:solidFill>
          </w14:textFill>
        </w:rPr>
        <w:t>阜阳</w:t>
      </w:r>
      <w:r>
        <w:rPr>
          <w:rFonts w:hint="eastAsia" w:ascii="Times New Roman" w:hAnsi="Times New Roman" w:eastAsia="仿宋_GB2312" w:cs="仿宋_GB2312"/>
          <w:color w:val="000000" w:themeColor="text1"/>
          <w:sz w:val="32"/>
          <w:szCs w:val="32"/>
          <w14:textFill>
            <w14:solidFill>
              <w14:schemeClr w14:val="tx1"/>
            </w14:solidFill>
          </w14:textFill>
        </w:rPr>
        <w:t>市场内需活力</w:t>
      </w:r>
      <w:r>
        <w:rPr>
          <w:rFonts w:ascii="Times New Roman" w:hAnsi="Times New Roman" w:eastAsia="仿宋_GB2312" w:cs="仿宋_GB2312"/>
          <w:color w:val="000000" w:themeColor="text1"/>
          <w:sz w:val="32"/>
          <w:szCs w:val="32"/>
          <w14:textFill>
            <w14:solidFill>
              <w14:schemeClr w14:val="tx1"/>
            </w14:solidFill>
          </w14:textFill>
        </w:rPr>
        <w:t>，</w:t>
      </w:r>
      <w:r>
        <w:rPr>
          <w:rFonts w:hint="eastAsia" w:ascii="Times New Roman" w:hAnsi="Times New Roman" w:eastAsia="仿宋_GB2312" w:cs="仿宋_GB2312"/>
          <w:sz w:val="32"/>
          <w:szCs w:val="32"/>
        </w:rPr>
        <w:t>到2025年，</w:t>
      </w:r>
      <w:r>
        <w:rPr>
          <w:rFonts w:hint="eastAsia" w:ascii="Times New Roman" w:hAnsi="Times New Roman" w:eastAsia="仿宋_GB2312" w:cs="仿宋_GB2312"/>
          <w:color w:val="000000" w:themeColor="text1"/>
          <w:sz w:val="32"/>
          <w:szCs w:val="32"/>
          <w14:textFill>
            <w14:solidFill>
              <w14:schemeClr w14:val="tx1"/>
            </w14:solidFill>
          </w14:textFill>
        </w:rPr>
        <w:t>绿色建筑建材应用推广取得重大突破，</w:t>
      </w:r>
      <w:r>
        <w:rPr>
          <w:rFonts w:hint="eastAsia" w:ascii="Times New Roman" w:hAnsi="Times New Roman" w:eastAsia="仿宋_GB2312" w:cs="仿宋_GB2312"/>
          <w:sz w:val="32"/>
          <w:szCs w:val="32"/>
        </w:rPr>
        <w:t>新建装配式建筑占新建建筑比例</w:t>
      </w:r>
      <w:r>
        <w:rPr>
          <w:rFonts w:hint="eastAsia" w:ascii="Times New Roman" w:hAnsi="Times New Roman" w:eastAsia="仿宋_GB2312" w:cs="仿宋_GB2312"/>
          <w:sz w:val="32"/>
          <w:szCs w:val="32"/>
          <w:lang w:val="en-US" w:eastAsia="zh-CN"/>
        </w:rPr>
        <w:t>力争</w:t>
      </w:r>
      <w:r>
        <w:rPr>
          <w:rFonts w:hint="eastAsia" w:ascii="Times New Roman" w:hAnsi="Times New Roman" w:eastAsia="仿宋_GB2312" w:cs="仿宋_GB2312"/>
          <w:sz w:val="32"/>
          <w:szCs w:val="32"/>
        </w:rPr>
        <w:t>达到</w:t>
      </w:r>
      <w:r>
        <w:rPr>
          <w:rFonts w:hint="eastAsia" w:ascii="Times New Roman" w:hAnsi="Times New Roman" w:eastAsia="仿宋_GB2312" w:cs="仿宋_GB2312"/>
          <w:sz w:val="32"/>
          <w:szCs w:val="32"/>
          <w:lang w:val="en-US" w:eastAsia="zh-CN"/>
        </w:rPr>
        <w:t>4</w:t>
      </w:r>
      <w:r>
        <w:rPr>
          <w:rFonts w:hint="eastAsia" w:ascii="Times New Roman" w:hAnsi="Times New Roman" w:eastAsia="仿宋_GB2312" w:cs="仿宋_GB2312"/>
          <w:sz w:val="32"/>
          <w:szCs w:val="32"/>
        </w:rPr>
        <w:t>0%，新建建筑绿色建材应用比例达到50%，</w:t>
      </w:r>
      <w:r>
        <w:rPr>
          <w:rFonts w:hint="eastAsia" w:ascii="Times New Roman" w:hAnsi="Times New Roman" w:eastAsia="仿宋_GB2312" w:cs="仿宋_GB2312"/>
          <w:color w:val="000000" w:themeColor="text1"/>
          <w:sz w:val="32"/>
          <w:szCs w:val="32"/>
          <w14:textFill>
            <w14:solidFill>
              <w14:schemeClr w14:val="tx1"/>
            </w14:solidFill>
          </w14:textFill>
        </w:rPr>
        <w:t>国家级装配式建筑示范城市、国家级绿色建材产业示范基地基本建成，</w:t>
      </w:r>
      <w:r>
        <w:rPr>
          <w:rFonts w:hint="eastAsia" w:ascii="Times New Roman" w:hAnsi="Times New Roman" w:eastAsia="仿宋_GB2312" w:cs="仿宋_GB2312"/>
          <w:sz w:val="32"/>
          <w:szCs w:val="32"/>
        </w:rPr>
        <w:t>产值达600亿元</w:t>
      </w:r>
      <w:r>
        <w:rPr>
          <w:rFonts w:hint="eastAsia" w:ascii="Times New Roman" w:hAnsi="Times New Roman" w:eastAsia="仿宋_GB2312" w:cs="仿宋_GB2312"/>
          <w:color w:val="000000" w:themeColor="text1"/>
          <w:sz w:val="32"/>
          <w:szCs w:val="32"/>
          <w14:textFill>
            <w14:solidFill>
              <w14:schemeClr w14:val="tx1"/>
            </w14:solidFill>
          </w14:textFill>
        </w:rPr>
        <w:t>。</w:t>
      </w:r>
    </w:p>
    <w:p w14:paraId="471E3F4C">
      <w:pPr>
        <w:spacing w:line="600" w:lineRule="exact"/>
        <w:ind w:firstLine="643" w:firstLineChars="200"/>
        <w:outlineLvl w:val="2"/>
        <w:rPr>
          <w:rFonts w:ascii="Times New Roman" w:hAnsi="Times New Roman" w:eastAsia="仿宋_GB2312" w:cs="仿宋_GB2312"/>
          <w:b/>
          <w:sz w:val="32"/>
          <w:szCs w:val="32"/>
        </w:rPr>
      </w:pPr>
      <w:r>
        <w:rPr>
          <w:rFonts w:hint="eastAsia" w:ascii="Times New Roman" w:hAnsi="Times New Roman" w:eastAsia="仿宋_GB2312" w:cs="仿宋_GB2312"/>
          <w:b/>
          <w:sz w:val="32"/>
          <w:szCs w:val="32"/>
        </w:rPr>
        <w:t>2.发展现状</w:t>
      </w:r>
    </w:p>
    <w:p w14:paraId="134A961E">
      <w:pPr>
        <w:pStyle w:val="13"/>
        <w:spacing w:line="600" w:lineRule="exact"/>
        <w:ind w:firstLine="640" w:firstLineChars="200"/>
        <w:rPr>
          <w:rFonts w:ascii="Times New Roman" w:hAnsi="Times New Roman" w:eastAsia="仿宋_GB2312" w:cs="仿宋_GB2312"/>
          <w:bCs/>
          <w:sz w:val="32"/>
          <w:szCs w:val="32"/>
        </w:rPr>
      </w:pPr>
      <w:r>
        <w:rPr>
          <w:rFonts w:hint="eastAsia" w:ascii="Times New Roman" w:hAnsi="Times New Roman" w:eastAsia="仿宋_GB2312" w:cs="仿宋_GB2312"/>
          <w:bCs/>
          <w:sz w:val="32"/>
          <w:szCs w:val="32"/>
        </w:rPr>
        <w:t>随着阜阳城镇化建设的加快以及相关政策的不断出台，阜阳绿色建筑建材产业得到了快速发展，产业总产值逐年提升，</w:t>
      </w:r>
      <w:r>
        <w:rPr>
          <w:rFonts w:hint="eastAsia" w:ascii="Times New Roman" w:hAnsi="Times New Roman" w:eastAsia="仿宋_GB2312" w:cs="仿宋_GB2312"/>
          <w:color w:val="000000" w:themeColor="text1"/>
          <w:sz w:val="32"/>
          <w:szCs w:val="32"/>
          <w14:textFill>
            <w14:solidFill>
              <w14:schemeClr w14:val="tx1"/>
            </w14:solidFill>
          </w14:textFill>
        </w:rPr>
        <w:t>2020年，建筑建材产业总产值突破</w:t>
      </w:r>
      <w:r>
        <w:rPr>
          <w:rFonts w:hint="eastAsia" w:ascii="Times New Roman" w:hAnsi="Times New Roman" w:eastAsia="仿宋_GB2312" w:cs="仿宋_GB2312"/>
          <w:sz w:val="32"/>
          <w:szCs w:val="32"/>
        </w:rPr>
        <w:t>356.4</w:t>
      </w:r>
      <w:r>
        <w:rPr>
          <w:rFonts w:hint="eastAsia" w:ascii="Times New Roman" w:hAnsi="Times New Roman" w:eastAsia="仿宋_GB2312" w:cs="仿宋_GB2312"/>
          <w:color w:val="000000" w:themeColor="text1"/>
          <w:sz w:val="32"/>
          <w:szCs w:val="32"/>
          <w14:textFill>
            <w14:solidFill>
              <w14:schemeClr w14:val="tx1"/>
            </w14:solidFill>
          </w14:textFill>
        </w:rPr>
        <w:t>亿元，占全市的12.8%,同比增长3.5%,增加值73.4亿元，占全市11.8%，同比增长3.9%，规模以上工业企业达到318家，占全市18.6%</w:t>
      </w:r>
      <w:r>
        <w:rPr>
          <w:rFonts w:hint="eastAsia" w:ascii="Times New Roman" w:hAnsi="Times New Roman" w:eastAsia="仿宋_GB2312" w:cs="仿宋_GB2312"/>
          <w:kern w:val="0"/>
          <w:sz w:val="32"/>
          <w:szCs w:val="32"/>
        </w:rPr>
        <w:t>。</w:t>
      </w:r>
    </w:p>
    <w:p w14:paraId="7C122F97">
      <w:pPr>
        <w:pStyle w:val="13"/>
        <w:spacing w:line="600" w:lineRule="exact"/>
        <w:ind w:firstLine="640" w:firstLineChars="200"/>
        <w:rPr>
          <w:rFonts w:ascii="仿宋_GB2312" w:hAnsi="仿宋_GB2312" w:eastAsia="仿宋_GB2312" w:cs="仿宋_GB2312"/>
          <w:sz w:val="32"/>
          <w:szCs w:val="32"/>
        </w:rPr>
      </w:pPr>
      <w:r>
        <w:rPr>
          <w:rFonts w:hint="eastAsia" w:ascii="Times New Roman" w:hAnsi="Times New Roman" w:eastAsia="仿宋_GB2312" w:cs="仿宋_GB2312"/>
          <w:sz w:val="32"/>
          <w:szCs w:val="32"/>
        </w:rPr>
        <w:t>但阜阳绿色建筑建材产业还存在以下几点问题：企业梯队建设有待加强，多以中小企业为主，尚无产值10亿元及</w:t>
      </w:r>
      <w:r>
        <w:rPr>
          <w:rFonts w:hint="eastAsia" w:ascii="仿宋_GB2312" w:hAnsi="仿宋_GB2312" w:eastAsia="仿宋_GB2312" w:cs="仿宋_GB2312"/>
          <w:sz w:val="32"/>
          <w:szCs w:val="32"/>
        </w:rPr>
        <w:t>以上工业企业；产业结构层次仍需优化，混凝土及水泥制品企业、玻璃深加工企业多从外地购入原料，企业间</w:t>
      </w:r>
      <w:r>
        <w:rPr>
          <w:rFonts w:hint="eastAsia" w:ascii="仿宋_GB2312" w:hAnsi="仿宋_GB2312" w:eastAsia="仿宋_GB2312" w:cs="仿宋_GB2312"/>
          <w:kern w:val="0"/>
          <w:sz w:val="32"/>
          <w:szCs w:val="32"/>
        </w:rPr>
        <w:t>产品、工艺等同质化现象严重，缺少高科技含量、高附加值、高档次产品</w:t>
      </w:r>
      <w:r>
        <w:rPr>
          <w:rFonts w:hint="eastAsia" w:ascii="仿宋_GB2312" w:hAnsi="仿宋_GB2312" w:eastAsia="仿宋_GB2312" w:cs="仿宋_GB2312"/>
          <w:sz w:val="32"/>
          <w:szCs w:val="32"/>
        </w:rPr>
        <w:t>；绿色建筑建材推广示范应用尚需加强，</w:t>
      </w:r>
      <w:r>
        <w:rPr>
          <w:rFonts w:hint="eastAsia" w:ascii="仿宋_GB2312" w:hAnsi="仿宋_GB2312" w:eastAsia="仿宋_GB2312" w:cs="仿宋_GB2312"/>
          <w:color w:val="000000" w:themeColor="text1"/>
          <w:sz w:val="32"/>
          <w:szCs w:val="32"/>
          <w14:textFill>
            <w14:solidFill>
              <w14:schemeClr w14:val="tx1"/>
            </w14:solidFill>
          </w14:textFill>
        </w:rPr>
        <w:t>与发达地区相比，装配式建筑总量较少，房地产企业因经济利益向绿色建筑转型的主动性不强，民众对于绿色建筑建材认知度有限。</w:t>
      </w:r>
    </w:p>
    <w:p w14:paraId="1FB01D1C">
      <w:pPr>
        <w:pStyle w:val="13"/>
        <w:spacing w:line="600" w:lineRule="exact"/>
        <w:ind w:firstLine="643" w:firstLineChars="200"/>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lang w:val="en-US" w:eastAsia="zh-CN"/>
        </w:rPr>
        <w:t>3</w:t>
      </w:r>
      <w:r>
        <w:rPr>
          <w:rFonts w:hint="eastAsia" w:ascii="仿宋_GB2312" w:hAnsi="仿宋_GB2312" w:eastAsia="仿宋_GB2312" w:cs="仿宋_GB2312"/>
          <w:b/>
          <w:sz w:val="32"/>
          <w:szCs w:val="32"/>
        </w:rPr>
        <w:t>.发展思路</w:t>
      </w:r>
    </w:p>
    <w:p w14:paraId="0DB6B20B">
      <w:pPr>
        <w:spacing w:line="600" w:lineRule="exact"/>
        <w:ind w:firstLine="643"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sz w:val="32"/>
          <w:szCs w:val="32"/>
        </w:rPr>
        <w:t>（1）强化绿色建筑建材推广示范应用。</w:t>
      </w:r>
      <w:r>
        <w:rPr>
          <w:rFonts w:hint="eastAsia" w:ascii="仿宋_GB2312" w:hAnsi="仿宋_GB2312" w:eastAsia="仿宋_GB2312" w:cs="仿宋_GB2312"/>
          <w:b/>
          <w:bCs/>
          <w:color w:val="000000" w:themeColor="text1"/>
          <w:sz w:val="32"/>
          <w:szCs w:val="32"/>
          <w14:textFill>
            <w14:solidFill>
              <w14:schemeClr w14:val="tx1"/>
            </w14:solidFill>
          </w14:textFill>
        </w:rPr>
        <w:t>宣贯绿色理念，</w:t>
      </w:r>
      <w:r>
        <w:rPr>
          <w:rFonts w:hint="eastAsia" w:ascii="仿宋_GB2312" w:hAnsi="仿宋_GB2312" w:eastAsia="仿宋_GB2312" w:cs="仿宋_GB2312"/>
          <w:color w:val="000000" w:themeColor="text1"/>
          <w:sz w:val="32"/>
          <w:szCs w:val="32"/>
          <w14:textFill>
            <w14:solidFill>
              <w14:schemeClr w14:val="tx1"/>
            </w14:solidFill>
          </w14:textFill>
        </w:rPr>
        <w:t>采取多种形式，开展绿色建筑建材政策和知识宣传，提高绿色建筑建材的社会认知度。推动政府投资工程率先采用绿色建材，逐步提高城镇新建建筑中绿色建材应用比例。</w:t>
      </w:r>
      <w:r>
        <w:rPr>
          <w:rFonts w:hint="eastAsia" w:ascii="仿宋_GB2312" w:hAnsi="仿宋_GB2312" w:eastAsia="仿宋_GB2312" w:cs="仿宋_GB2312"/>
          <w:b/>
          <w:bCs/>
          <w:color w:val="000000" w:themeColor="text1"/>
          <w:sz w:val="32"/>
          <w:szCs w:val="32"/>
          <w14:textFill>
            <w14:solidFill>
              <w14:schemeClr w14:val="tx1"/>
            </w14:solidFill>
          </w14:textFill>
        </w:rPr>
        <w:t>持续推进既有居住建筑节能改造，</w:t>
      </w:r>
      <w:r>
        <w:rPr>
          <w:rFonts w:hint="eastAsia" w:ascii="仿宋_GB2312" w:hAnsi="仿宋_GB2312" w:eastAsia="仿宋_GB2312" w:cs="仿宋_GB2312"/>
          <w:color w:val="000000" w:themeColor="text1"/>
          <w:sz w:val="32"/>
          <w:szCs w:val="32"/>
          <w14:textFill>
            <w14:solidFill>
              <w14:schemeClr w14:val="tx1"/>
            </w14:solidFill>
          </w14:textFill>
        </w:rPr>
        <w:t>研究推广城市社区规划，制定老旧小区节能宜居综合改造技术导则，积极开展老旧小区建筑节能改造试点。</w:t>
      </w:r>
      <w:r>
        <w:rPr>
          <w:rFonts w:hint="eastAsia" w:ascii="仿宋_GB2312" w:hAnsi="仿宋_GB2312" w:eastAsia="仿宋_GB2312" w:cs="仿宋_GB2312"/>
          <w:b/>
          <w:bCs/>
          <w:color w:val="000000" w:themeColor="text1"/>
          <w:sz w:val="32"/>
          <w:szCs w:val="32"/>
          <w14:textFill>
            <w14:solidFill>
              <w14:schemeClr w14:val="tx1"/>
            </w14:solidFill>
          </w14:textFill>
        </w:rPr>
        <w:t>积极推进县城及农村建筑节能，</w:t>
      </w:r>
      <w:r>
        <w:rPr>
          <w:rFonts w:hint="eastAsia" w:ascii="仿宋_GB2312" w:hAnsi="仿宋_GB2312" w:eastAsia="仿宋_GB2312" w:cs="仿宋_GB2312"/>
          <w:color w:val="000000" w:themeColor="text1"/>
          <w:sz w:val="32"/>
          <w:szCs w:val="32"/>
          <w14:textFill>
            <w14:solidFill>
              <w14:schemeClr w14:val="tx1"/>
            </w14:solidFill>
          </w14:textFill>
        </w:rPr>
        <w:t>引领绿色建筑建材企业以公共建筑、保障性住房、棚户区</w:t>
      </w:r>
      <w:r>
        <w:rPr>
          <w:rFonts w:ascii="仿宋_GB2312" w:hAnsi="仿宋_GB2312" w:eastAsia="仿宋_GB2312" w:cs="仿宋_GB2312"/>
          <w:color w:val="000000" w:themeColor="text1"/>
          <w:sz w:val="32"/>
          <w:szCs w:val="32"/>
          <w14:textFill>
            <w14:solidFill>
              <w14:schemeClr w14:val="tx1"/>
            </w14:solidFill>
          </w14:textFill>
        </w:rPr>
        <w:t>改造以及新农村建设试点等项目为突破口，大力推广应用绿色建材</w:t>
      </w:r>
      <w:r>
        <w:rPr>
          <w:rFonts w:hint="eastAsia" w:ascii="仿宋_GB2312" w:hAnsi="仿宋_GB2312" w:eastAsia="仿宋_GB2312" w:cs="仿宋_GB2312"/>
          <w:color w:val="000000" w:themeColor="text1"/>
          <w:sz w:val="32"/>
          <w:szCs w:val="32"/>
          <w14:textFill>
            <w14:solidFill>
              <w14:schemeClr w14:val="tx1"/>
            </w14:solidFill>
          </w14:textFill>
        </w:rPr>
        <w:t>，</w:t>
      </w:r>
      <w:r>
        <w:rPr>
          <w:rFonts w:ascii="仿宋_GB2312" w:hAnsi="仿宋_GB2312" w:eastAsia="仿宋_GB2312" w:cs="仿宋_GB2312"/>
          <w:color w:val="000000" w:themeColor="text1"/>
          <w:sz w:val="32"/>
          <w:szCs w:val="32"/>
          <w14:textFill>
            <w14:solidFill>
              <w14:schemeClr w14:val="tx1"/>
            </w14:solidFill>
          </w14:textFill>
        </w:rPr>
        <w:t>推行装配式钢结构等新型建造方式</w:t>
      </w:r>
      <w:r>
        <w:rPr>
          <w:rFonts w:hint="eastAsia" w:ascii="仿宋_GB2312" w:hAnsi="仿宋_GB2312" w:eastAsia="仿宋_GB2312" w:cs="仿宋_GB2312"/>
          <w:color w:val="000000" w:themeColor="text1"/>
          <w:sz w:val="32"/>
          <w:szCs w:val="32"/>
          <w14:textFill>
            <w14:solidFill>
              <w14:schemeClr w14:val="tx1"/>
            </w14:solidFill>
          </w14:textFill>
        </w:rPr>
        <w:t>；</w:t>
      </w:r>
      <w:r>
        <w:rPr>
          <w:rFonts w:ascii="仿宋_GB2312" w:hAnsi="仿宋_GB2312" w:eastAsia="仿宋_GB2312" w:cs="仿宋_GB2312"/>
          <w:color w:val="000000" w:themeColor="text1"/>
          <w:sz w:val="32"/>
          <w:szCs w:val="32"/>
          <w14:textFill>
            <w14:solidFill>
              <w14:schemeClr w14:val="tx1"/>
            </w14:solidFill>
          </w14:textFill>
        </w:rPr>
        <w:t>大力发展适应</w:t>
      </w:r>
      <w:r>
        <w:rPr>
          <w:rFonts w:hint="eastAsia" w:ascii="仿宋_GB2312" w:hAnsi="仿宋_GB2312" w:eastAsia="仿宋_GB2312" w:cs="仿宋_GB2312"/>
          <w:color w:val="000000" w:themeColor="text1"/>
          <w:sz w:val="32"/>
          <w:szCs w:val="32"/>
          <w14:textFill>
            <w14:solidFill>
              <w14:schemeClr w14:val="tx1"/>
            </w14:solidFill>
          </w14:textFill>
        </w:rPr>
        <w:t>阜阳</w:t>
      </w:r>
      <w:r>
        <w:rPr>
          <w:rFonts w:ascii="仿宋_GB2312" w:hAnsi="仿宋_GB2312" w:eastAsia="仿宋_GB2312" w:cs="仿宋_GB2312"/>
          <w:color w:val="000000" w:themeColor="text1"/>
          <w:sz w:val="32"/>
          <w:szCs w:val="32"/>
          <w14:textFill>
            <w14:solidFill>
              <w14:schemeClr w14:val="tx1"/>
            </w14:solidFill>
          </w14:textFill>
        </w:rPr>
        <w:t>资源禀赋和需求的可再生能源，</w:t>
      </w:r>
      <w:r>
        <w:rPr>
          <w:rFonts w:hint="eastAsia" w:ascii="仿宋_GB2312" w:hAnsi="仿宋_GB2312" w:eastAsia="仿宋_GB2312" w:cs="仿宋_GB2312"/>
          <w:b/>
          <w:bCs/>
          <w:color w:val="000000" w:themeColor="text1"/>
          <w:sz w:val="32"/>
          <w:szCs w:val="32"/>
          <w14:textFill>
            <w14:solidFill>
              <w14:schemeClr w14:val="tx1"/>
            </w14:solidFill>
          </w14:textFill>
        </w:rPr>
        <w:t>打造一批</w:t>
      </w:r>
      <w:r>
        <w:rPr>
          <w:rFonts w:ascii="仿宋_GB2312" w:hAnsi="仿宋_GB2312" w:eastAsia="仿宋_GB2312" w:cs="仿宋_GB2312"/>
          <w:b/>
          <w:bCs/>
          <w:color w:val="000000" w:themeColor="text1"/>
          <w:sz w:val="32"/>
          <w:szCs w:val="32"/>
          <w14:textFill>
            <w14:solidFill>
              <w14:schemeClr w14:val="tx1"/>
            </w14:solidFill>
          </w14:textFill>
        </w:rPr>
        <w:t>经典案例、示范工程</w:t>
      </w:r>
      <w:r>
        <w:rPr>
          <w:rFonts w:hint="eastAsia" w:ascii="仿宋_GB2312" w:hAnsi="仿宋_GB2312" w:eastAsia="仿宋_GB2312" w:cs="仿宋_GB2312"/>
          <w:b/>
          <w:bCs/>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以市场为导向，引导建材企业开展绿色建材认证，按照绿色建材示范企业和示范基地创建要求，培育本地绿色建材示范企业和示范基地。做好建筑节能改造应用试点实践总结及后期评估，总结项目实施经验，指导建筑节能改造应用实践。</w:t>
      </w:r>
    </w:p>
    <w:p w14:paraId="1B3AB5E2">
      <w:pPr>
        <w:widowControl/>
        <w:spacing w:line="600" w:lineRule="exact"/>
        <w:ind w:firstLine="643"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sz w:val="32"/>
          <w:szCs w:val="32"/>
        </w:rPr>
        <w:t>（2）提升绿色建筑建材产业创新水平。推动共建研发平台。</w:t>
      </w:r>
      <w:r>
        <w:rPr>
          <w:rFonts w:hint="eastAsia" w:ascii="仿宋_GB2312" w:hAnsi="仿宋" w:eastAsia="仿宋_GB2312"/>
          <w:sz w:val="32"/>
          <w:szCs w:val="32"/>
        </w:rPr>
        <w:t>依托</w:t>
      </w:r>
      <w:r>
        <w:rPr>
          <w:rFonts w:hint="eastAsia" w:ascii="仿宋_GB2312" w:hAnsi="仿宋_GB2312" w:eastAsia="仿宋_GB2312" w:cs="仿宋_GB2312"/>
          <w:color w:val="000000" w:themeColor="text1"/>
          <w:sz w:val="32"/>
          <w:szCs w:val="32"/>
          <w14:textFill>
            <w14:solidFill>
              <w14:schemeClr w14:val="tx1"/>
            </w14:solidFill>
          </w14:textFill>
        </w:rPr>
        <w:t>远大住工、圣象地板、富龙建筑材料等龙头企业，</w:t>
      </w:r>
      <w:r>
        <w:rPr>
          <w:rFonts w:hint="eastAsia" w:ascii="仿宋_GB2312" w:hAnsi="仿宋" w:eastAsia="仿宋_GB2312"/>
          <w:sz w:val="32"/>
          <w:szCs w:val="32"/>
        </w:rPr>
        <w:t>与中国建筑材料工业规划研究院、常州绿建区等</w:t>
      </w:r>
      <w:r>
        <w:rPr>
          <w:rFonts w:hint="eastAsia" w:ascii="仿宋_GB2312" w:hAnsi="仿宋_GB2312" w:eastAsia="仿宋_GB2312" w:cs="仿宋_GB2312"/>
          <w:color w:val="000000" w:themeColor="text1"/>
          <w:sz w:val="32"/>
          <w:szCs w:val="32"/>
          <w14:textFill>
            <w14:solidFill>
              <w14:schemeClr w14:val="tx1"/>
            </w14:solidFill>
          </w14:textFill>
        </w:rPr>
        <w:t>先发地区的科研院所和园区达成合作关系，共建研究机构、产业技术联盟，围绕阜阳本土化绿色建筑、中高端玻璃深加工、绿色环保型木制品、利废环境功能材料等产品，形成一批省级、市级工程技术中心、应用技术推广中心，培育一批国家级、省级研发中心和重点实验室。</w:t>
      </w:r>
      <w:r>
        <w:rPr>
          <w:rFonts w:hint="eastAsia" w:ascii="仿宋_GB2312" w:hAnsi="仿宋_GB2312" w:eastAsia="仿宋_GB2312" w:cs="仿宋_GB2312"/>
          <w:b/>
          <w:bCs/>
          <w:color w:val="000000" w:themeColor="text1"/>
          <w:sz w:val="32"/>
          <w:szCs w:val="32"/>
          <w14:textFill>
            <w14:solidFill>
              <w14:schemeClr w14:val="tx1"/>
            </w14:solidFill>
          </w14:textFill>
        </w:rPr>
        <w:t>扶持本地研究机构。</w:t>
      </w:r>
      <w:r>
        <w:rPr>
          <w:rFonts w:hint="eastAsia" w:ascii="仿宋_GB2312" w:hAnsi="仿宋_GB2312" w:eastAsia="仿宋_GB2312" w:cs="仿宋_GB2312"/>
          <w:color w:val="000000" w:themeColor="text1"/>
          <w:sz w:val="32"/>
          <w:szCs w:val="32"/>
          <w:lang w:val="zh-CN"/>
          <w14:textFill>
            <w14:solidFill>
              <w14:schemeClr w14:val="tx1"/>
            </w14:solidFill>
          </w14:textFill>
        </w:rPr>
        <w:t>设立校地合作专项资金，支持在阜高校</w:t>
      </w:r>
      <w:r>
        <w:rPr>
          <w:rFonts w:hint="eastAsia" w:ascii="仿宋_GB2312" w:hAnsi="仿宋_GB2312" w:eastAsia="仿宋_GB2312" w:cs="仿宋_GB2312"/>
          <w:color w:val="000000" w:themeColor="text1"/>
          <w:sz w:val="32"/>
          <w:szCs w:val="32"/>
          <w14:textFill>
            <w14:solidFill>
              <w14:schemeClr w14:val="tx1"/>
            </w14:solidFill>
          </w14:textFill>
        </w:rPr>
        <w:t>开设绿色建筑建材相关课程，围绕玻璃生产线脱硫脱硝一体化技术、建筑垃圾综合回收处理和再利用等绿色建筑建材领域的前沿技术和高附加值项目，</w:t>
      </w:r>
      <w:r>
        <w:rPr>
          <w:rFonts w:hint="eastAsia" w:ascii="仿宋_GB2312" w:hAnsi="仿宋_GB2312" w:eastAsia="仿宋_GB2312" w:cs="仿宋_GB2312"/>
          <w:color w:val="000000" w:themeColor="text1"/>
          <w:sz w:val="32"/>
          <w:szCs w:val="32"/>
          <w:lang w:val="zh-CN"/>
          <w14:textFill>
            <w14:solidFill>
              <w14:schemeClr w14:val="tx1"/>
            </w14:solidFill>
          </w14:textFill>
        </w:rPr>
        <w:t>与企业联合开展科技攻关。</w:t>
      </w:r>
      <w:r>
        <w:rPr>
          <w:rFonts w:hint="eastAsia" w:ascii="仿宋_GB2312" w:hAnsi="仿宋_GB2312" w:eastAsia="仿宋_GB2312" w:cs="仿宋_GB2312"/>
          <w:b/>
          <w:bCs/>
          <w:color w:val="000000" w:themeColor="text1"/>
          <w:sz w:val="32"/>
          <w:szCs w:val="32"/>
          <w14:textFill>
            <w14:solidFill>
              <w14:schemeClr w14:val="tx1"/>
            </w14:solidFill>
          </w14:textFill>
        </w:rPr>
        <w:t>建立绿色建筑建材科技成果转化公共服务平台，</w:t>
      </w:r>
      <w:r>
        <w:rPr>
          <w:rFonts w:hint="eastAsia" w:ascii="仿宋_GB2312" w:hAnsi="仿宋_GB2312" w:eastAsia="仿宋_GB2312" w:cs="仿宋_GB2312"/>
          <w:color w:val="000000" w:themeColor="text1"/>
          <w:sz w:val="32"/>
          <w:szCs w:val="32"/>
          <w14:textFill>
            <w14:solidFill>
              <w14:schemeClr w14:val="tx1"/>
            </w14:solidFill>
          </w14:textFill>
        </w:rPr>
        <w:t>完善在使用无毒无污染的原材料、降低生产能耗控制污染及噪音排放、利用工业固体废弃物、提高产品性能和评估技术等方面的科技成果登记统计制度和信息发布机制。</w:t>
      </w:r>
    </w:p>
    <w:p w14:paraId="634F0BF2">
      <w:pPr>
        <w:pStyle w:val="13"/>
        <w:spacing w:line="600" w:lineRule="exact"/>
        <w:ind w:firstLine="643" w:firstLineChars="200"/>
        <w:rPr>
          <w:rFonts w:ascii="仿宋_GB2312" w:hAnsi="仿宋_GB2312" w:eastAsia="仿宋_GB2312" w:cs="仿宋_GB2312"/>
          <w:bCs/>
          <w:sz w:val="32"/>
          <w:szCs w:val="32"/>
        </w:rPr>
      </w:pPr>
      <w:r>
        <w:rPr>
          <w:rFonts w:hint="eastAsia" w:ascii="仿宋_GB2312" w:hAnsi="仿宋_GB2312" w:eastAsia="仿宋_GB2312" w:cs="仿宋_GB2312"/>
          <w:b/>
          <w:sz w:val="32"/>
          <w:szCs w:val="32"/>
        </w:rPr>
        <w:t>（3）完善服务配套体系。培育工程服务业。</w:t>
      </w:r>
      <w:r>
        <w:rPr>
          <w:rFonts w:hint="eastAsia" w:ascii="仿宋_GB2312" w:hAnsi="仿宋_GB2312" w:eastAsia="仿宋_GB2312" w:cs="仿宋_GB2312"/>
          <w:color w:val="000000" w:themeColor="text1"/>
          <w:sz w:val="32"/>
          <w:szCs w:val="32"/>
          <w14:textFill>
            <w14:solidFill>
              <w14:schemeClr w14:val="tx1"/>
            </w14:solidFill>
          </w14:textFill>
        </w:rPr>
        <w:t>鼓励建材骨干企业提供包括可行性分析、立项、勘察、设计、建造、运营等贯穿一个工程项目的全生命周期内容的工程服务，</w:t>
      </w:r>
      <w:r>
        <w:rPr>
          <w:rFonts w:hint="eastAsia" w:ascii="仿宋_GB2312" w:hAnsi="仿宋_GB2312" w:eastAsia="仿宋_GB2312" w:cs="仿宋"/>
          <w:sz w:val="32"/>
          <w:szCs w:val="32"/>
        </w:rPr>
        <w:t>培育企业自有工程承包商，组建专业劳务派遣公司，提高专业化工程服务能力。</w:t>
      </w:r>
      <w:r>
        <w:rPr>
          <w:rFonts w:hint="eastAsia" w:ascii="仿宋_GB2312" w:hAnsi="仿宋_GB2312" w:eastAsia="仿宋_GB2312" w:cs="仿宋_GB2312"/>
          <w:b/>
          <w:bCs/>
          <w:color w:val="000000" w:themeColor="text1"/>
          <w:sz w:val="32"/>
          <w:szCs w:val="32"/>
          <w14:textFill>
            <w14:solidFill>
              <w14:schemeClr w14:val="tx1"/>
            </w14:solidFill>
          </w14:textFill>
        </w:rPr>
        <w:t>加强物流运输能力。</w:t>
      </w:r>
      <w:r>
        <w:rPr>
          <w:rFonts w:hint="eastAsia" w:ascii="仿宋_GB2312" w:hAnsi="仿宋_GB2312" w:eastAsia="仿宋_GB2312" w:cs="仿宋"/>
          <w:sz w:val="32"/>
          <w:szCs w:val="32"/>
        </w:rPr>
        <w:t>加快推进码头、公路等运输渠道建设，构建以大型物流基地为核心、综合性物流配送区和专业性物流配送区为节点的现代物流网络体系，实现从原料购进、产品生产、成品仓储到自动分拣、部品配套、产品运输、现场装配的“一程式”商业物流服务。</w:t>
      </w:r>
      <w:r>
        <w:rPr>
          <w:rFonts w:hint="eastAsia" w:ascii="仿宋_GB2312" w:hAnsi="仿宋_GB2312" w:eastAsia="仿宋_GB2312" w:cs="仿宋"/>
          <w:b/>
          <w:bCs/>
          <w:sz w:val="32"/>
          <w:szCs w:val="32"/>
        </w:rPr>
        <w:t>提升综合服务水平。</w:t>
      </w:r>
      <w:r>
        <w:rPr>
          <w:rFonts w:hint="eastAsia" w:ascii="仿宋_GB2312" w:hAnsi="仿宋_GB2312" w:eastAsia="仿宋_GB2312" w:cs="仿宋"/>
          <w:sz w:val="32"/>
          <w:szCs w:val="32"/>
        </w:rPr>
        <w:t>支持搭建绿色建材行业公共服务平台，</w:t>
      </w:r>
      <w:r>
        <w:rPr>
          <w:rFonts w:hint="eastAsia" w:ascii="仿宋_GB2312" w:hAnsi="仿宋_GB2312" w:eastAsia="仿宋_GB2312"/>
          <w:sz w:val="32"/>
          <w:szCs w:val="30"/>
        </w:rPr>
        <w:t>规范相关服务标准，开展技术研发、知识产权运用、检验检测、技术评价、技术交易、质量认证等专业化服务，</w:t>
      </w:r>
      <w:r>
        <w:rPr>
          <w:rFonts w:hint="eastAsia" w:ascii="仿宋_GB2312" w:hAnsi="仿宋_GB2312" w:eastAsia="仿宋_GB2312" w:cs="仿宋"/>
          <w:sz w:val="32"/>
          <w:szCs w:val="32"/>
        </w:rPr>
        <w:t>加强企业间技术、产品、市场等领域的交流与合作，实现错位协同发展、共生共赢。支持建材工业研发设计、合同能源管理、第三方检验检测、绿色建材认证等服务。</w:t>
      </w:r>
    </w:p>
    <w:p w14:paraId="423DD523">
      <w:pPr>
        <w:spacing w:line="600" w:lineRule="exact"/>
        <w:ind w:firstLine="643" w:firstLineChars="200"/>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lang w:val="en-US" w:eastAsia="zh-CN"/>
        </w:rPr>
        <w:t>4</w:t>
      </w:r>
      <w:r>
        <w:rPr>
          <w:rFonts w:hint="eastAsia" w:ascii="仿宋_GB2312" w:hAnsi="仿宋_GB2312" w:eastAsia="仿宋_GB2312" w:cs="仿宋_GB2312"/>
          <w:b/>
          <w:sz w:val="32"/>
          <w:szCs w:val="32"/>
        </w:rPr>
        <w:t>.发展重点</w:t>
      </w:r>
    </w:p>
    <w:p w14:paraId="0278E130">
      <w:pPr>
        <w:pStyle w:val="35"/>
        <w:spacing w:line="600" w:lineRule="exact"/>
        <w:ind w:firstLine="640" w:firstLineChars="200"/>
        <w:rPr>
          <w:rFonts w:ascii="仿宋_GB2312" w:hAnsi="仿宋_GB2312" w:eastAsia="仿宋_GB2312" w:cs="仿宋_GB2312"/>
          <w:color w:val="000000" w:themeColor="text1"/>
          <w:sz w:val="32"/>
          <w:szCs w:val="32"/>
          <w:lang w:val="en-US" w:eastAsia="zh-CN" w:bidi="ar-SA"/>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bidi="ar-SA"/>
          <w14:textFill>
            <w14:solidFill>
              <w14:schemeClr w14:val="tx1"/>
            </w14:solidFill>
          </w14:textFill>
        </w:rPr>
        <w:t>（1）重点发展</w:t>
      </w:r>
    </w:p>
    <w:p w14:paraId="0E4F2DE4">
      <w:pPr>
        <w:pStyle w:val="23"/>
        <w:spacing w:after="0" w:line="600" w:lineRule="exact"/>
        <w:ind w:left="0" w:leftChars="0" w:firstLine="643"/>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Times New Roman" w:eastAsia="仿宋_GB2312"/>
          <w:b/>
          <w:bCs/>
          <w:sz w:val="32"/>
          <w:szCs w:val="28"/>
        </w:rPr>
        <w:t>新型墙体材料。</w:t>
      </w:r>
      <w:r>
        <w:rPr>
          <w:rFonts w:hint="eastAsia" w:ascii="仿宋_GB2312" w:hAnsi="Times New Roman" w:eastAsia="仿宋_GB2312"/>
          <w:sz w:val="32"/>
          <w:szCs w:val="28"/>
        </w:rPr>
        <w:t>大力发展新型墙体材料及外墙保温材料，规划建设绿色建材产业园，建设粉煤灰综合利用生产线，发展B05级及以下低收缩加气混凝土砌块、加气混凝土精确砌块、加气混凝土墙板、烧结自保温砌块、烧结装饰砌块、烧结透水砖、硅酸钙板等产品，重点布局适应装配式建筑需要的蒸压加气混凝土板材、结构保温装饰一体化墙体及其他新型外墙保温系统产业。鼓励再生资源利用，重</w:t>
      </w:r>
      <w:r>
        <w:rPr>
          <w:rFonts w:hint="eastAsia" w:ascii="仿宋_GB2312" w:hAnsi="Times New Roman" w:eastAsia="仿宋_GB2312"/>
          <w:color w:val="000000"/>
          <w:sz w:val="32"/>
        </w:rPr>
        <w:t>点围绕再生铝、再生塑料、建筑垃圾和农作物秸秆等再生废弃资源利用开发，</w:t>
      </w:r>
      <w:r>
        <w:rPr>
          <w:rFonts w:hint="eastAsia" w:ascii="仿宋_GB2312" w:hAnsi="仿宋_GB2312" w:eastAsia="仿宋_GB2312" w:cs="仿宋_GB2312"/>
          <w:color w:val="000000" w:themeColor="text1"/>
          <w:sz w:val="32"/>
          <w:szCs w:val="32"/>
          <w14:textFill>
            <w14:solidFill>
              <w14:schemeClr w14:val="tx1"/>
            </w14:solidFill>
          </w14:textFill>
        </w:rPr>
        <w:t>积极研发</w:t>
      </w:r>
      <w:r>
        <w:rPr>
          <w:rFonts w:hint="eastAsia" w:ascii="仿宋_GB2312" w:hAnsi="楷体" w:eastAsia="仿宋_GB2312" w:cs="Times New Roman"/>
          <w:bCs/>
          <w:kern w:val="0"/>
          <w:sz w:val="32"/>
          <w:szCs w:val="32"/>
        </w:rPr>
        <w:t>再生混凝土砌块、加气块、铝单板、彩涂铝板、铝塑板、塑木板材等</w:t>
      </w:r>
      <w:r>
        <w:rPr>
          <w:rFonts w:hint="eastAsia" w:ascii="仿宋_GB2312" w:hAnsi="仿宋_GB2312" w:eastAsia="仿宋_GB2312" w:cs="仿宋_GB2312"/>
          <w:color w:val="000000" w:themeColor="text1"/>
          <w:sz w:val="32"/>
          <w:szCs w:val="32"/>
          <w14:textFill>
            <w14:solidFill>
              <w14:schemeClr w14:val="tx1"/>
            </w14:solidFill>
          </w14:textFill>
        </w:rPr>
        <w:t>。</w:t>
      </w:r>
    </w:p>
    <w:p w14:paraId="6A40E5B4">
      <w:pPr>
        <w:pStyle w:val="13"/>
        <w:spacing w:line="600" w:lineRule="exact"/>
        <w:ind w:firstLine="643" w:firstLineChars="200"/>
        <w:rPr>
          <w:rFonts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装配式建筑部品部件</w:t>
      </w:r>
      <w:r>
        <w:rPr>
          <w:rFonts w:hint="eastAsia" w:ascii="仿宋_GB2312" w:hAnsi="仿宋_GB2312" w:eastAsia="仿宋_GB2312" w:cs="仿宋_GB2312"/>
          <w:b/>
          <w:bCs/>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推动装配式混凝土建筑部品部件生产标准化，推进技术、产品和服务集成创新，实现系列化开发、规模化生产、配套化供应，打造国家级装配式建筑产业基地。优化完善现有预制框架、剪力墙、框架-剪力墙结构等装配式混凝土结构体系。重点发展重钢梁柱、轻钢梁柱、钢桁架、钢管束混凝土部件、钢筋桁架楼承板等钢结构构件，配套发展钢结构高强螺栓、减震滞震装备、大流动性混凝土、混凝土灌浆料等辅材产品。</w:t>
      </w:r>
      <w:r>
        <w:rPr>
          <w:rFonts w:hint="eastAsia" w:ascii="仿宋_GB2312" w:hAnsi="Times New Roman" w:eastAsia="仿宋_GB2312"/>
          <w:sz w:val="32"/>
        </w:rPr>
        <w:t>结合浅层、次浅层地下空间利用需求，探索发展地下结构装配式部品部件和负结构装配式部品部件。</w:t>
      </w:r>
    </w:p>
    <w:p w14:paraId="7F1A4334">
      <w:pPr>
        <w:spacing w:line="600" w:lineRule="exact"/>
        <w:ind w:firstLine="643" w:firstLineChars="200"/>
        <w:rPr>
          <w:rFonts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水泥制品。</w:t>
      </w:r>
      <w:r>
        <w:rPr>
          <w:rFonts w:hint="eastAsia" w:ascii="仿宋_GB2312" w:hAnsi="仿宋_GB2312" w:eastAsia="仿宋_GB2312" w:cs="仿宋_GB2312"/>
          <w:color w:val="000000" w:themeColor="text1"/>
          <w:sz w:val="32"/>
          <w:szCs w:val="32"/>
          <w14:textFill>
            <w14:solidFill>
              <w14:schemeClr w14:val="tx1"/>
            </w14:solidFill>
          </w14:textFill>
        </w:rPr>
        <w:t>夯实产业基础，加强</w:t>
      </w:r>
      <w:r>
        <w:rPr>
          <w:rFonts w:hint="eastAsia" w:ascii="仿宋_GB2312" w:hAnsi="仿宋_GB2312" w:eastAsia="仿宋_GB2312" w:cs="仿宋_GB2312"/>
          <w:color w:val="000000" w:themeColor="text1"/>
          <w:sz w:val="32"/>
          <w:szCs w:val="32"/>
          <w:lang w:eastAsia="zh-Hans"/>
          <w14:textFill>
            <w14:solidFill>
              <w14:schemeClr w14:val="tx1"/>
            </w14:solidFill>
          </w14:textFill>
        </w:rPr>
        <w:t>预拌混凝土</w:t>
      </w:r>
      <w:r>
        <w:rPr>
          <w:rFonts w:hint="eastAsia" w:ascii="仿宋_GB2312" w:hAnsi="仿宋_GB2312" w:eastAsia="仿宋_GB2312" w:cs="仿宋_GB2312"/>
          <w:color w:val="000000" w:themeColor="text1"/>
          <w:sz w:val="32"/>
          <w:szCs w:val="32"/>
          <w14:textFill>
            <w14:solidFill>
              <w14:schemeClr w14:val="tx1"/>
            </w14:solidFill>
          </w14:textFill>
        </w:rPr>
        <w:t>、预拌砂浆、</w:t>
      </w:r>
      <w:r>
        <w:rPr>
          <w:rFonts w:hint="eastAsia" w:ascii="仿宋_GB2312" w:hAnsi="仿宋_GB2312" w:eastAsia="仿宋_GB2312" w:cs="仿宋_GB2312"/>
          <w:color w:val="000000" w:themeColor="text1"/>
          <w:sz w:val="32"/>
          <w:szCs w:val="32"/>
          <w:lang w:eastAsia="zh-Hans"/>
          <w14:textFill>
            <w14:solidFill>
              <w14:schemeClr w14:val="tx1"/>
            </w14:solidFill>
          </w14:textFill>
        </w:rPr>
        <w:t>水泥制品</w:t>
      </w:r>
      <w:r>
        <w:rPr>
          <w:rFonts w:hint="eastAsia" w:ascii="仿宋_GB2312" w:hAnsi="仿宋_GB2312" w:eastAsia="仿宋_GB2312" w:cs="仿宋_GB2312"/>
          <w:color w:val="000000" w:themeColor="text1"/>
          <w:sz w:val="32"/>
          <w:szCs w:val="32"/>
          <w14:textFill>
            <w14:solidFill>
              <w14:schemeClr w14:val="tx1"/>
            </w14:solidFill>
          </w14:textFill>
        </w:rPr>
        <w:t>等产品的推广应用，促进节能减排。加强技术创新，强化预拌混凝土企业产品的差异化，引导龙头企业发展高性能、高稳定性混凝土及水泥制品，向桥梁、道路、隐蔽工程等特种用途及绿色低碳方向发展，开发硅酸盐基、硫酸盐基及铝酸盐基等特种功能的高质量砂浆。延伸产业链条。依托重点企业，引导建筑垃圾再生企业延伸发展建筑再生集料，鼓励企业积极利用煤矸石、建筑垃圾等固废替代自然资源，发展机制砂石、混凝土掺合料等产品。有条件的混凝土企业进一步延伸至装配式建筑部品部件、市政工程用混凝土制品、装饰混凝土等相关领域。</w:t>
      </w:r>
    </w:p>
    <w:p w14:paraId="4C3F5F21">
      <w:pPr>
        <w:pStyle w:val="35"/>
        <w:spacing w:line="600" w:lineRule="exact"/>
        <w:ind w:firstLine="640" w:firstLineChars="200"/>
        <w:rPr>
          <w:rFonts w:ascii="仿宋_GB2312" w:hAnsi="仿宋_GB2312" w:eastAsia="仿宋_GB2312" w:cs="仿宋_GB2312"/>
          <w:color w:val="000000" w:themeColor="text1"/>
          <w:sz w:val="32"/>
          <w:szCs w:val="32"/>
          <w:lang w:val="en-US" w:eastAsia="zh-CN" w:bidi="ar-SA"/>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bidi="ar-SA"/>
          <w14:textFill>
            <w14:solidFill>
              <w14:schemeClr w14:val="tx1"/>
            </w14:solidFill>
          </w14:textFill>
        </w:rPr>
        <w:t>（2）大力发展</w:t>
      </w:r>
    </w:p>
    <w:p w14:paraId="44B8FD1D">
      <w:pPr>
        <w:pStyle w:val="13"/>
        <w:spacing w:line="600" w:lineRule="exact"/>
        <w:ind w:firstLine="643" w:firstLineChars="200"/>
        <w:rPr>
          <w:rFonts w:ascii="仿宋_GB2312" w:hAnsi="Times New Roman" w:eastAsia="仿宋_GB2312"/>
          <w:color w:val="000000"/>
          <w:sz w:val="32"/>
        </w:rPr>
      </w:pPr>
      <w:r>
        <w:rPr>
          <w:rFonts w:hint="eastAsia" w:ascii="仿宋_GB2312" w:hAnsi="仿宋_GB2312" w:eastAsia="仿宋_GB2312" w:cs="仿宋_GB2312"/>
          <w:b/>
          <w:bCs/>
          <w:color w:val="000000" w:themeColor="text1"/>
          <w:sz w:val="32"/>
          <w:szCs w:val="32"/>
          <w14:textFill>
            <w14:solidFill>
              <w14:schemeClr w14:val="tx1"/>
            </w14:solidFill>
          </w14:textFill>
        </w:rPr>
        <w:t>建筑节能玻璃。</w:t>
      </w:r>
      <w:r>
        <w:rPr>
          <w:rFonts w:hint="eastAsia" w:ascii="仿宋_GB2312" w:hAnsi="仿宋_GB2312" w:eastAsia="仿宋_GB2312" w:cs="仿宋_GB2312"/>
          <w:color w:val="000000" w:themeColor="text1"/>
          <w:sz w:val="32"/>
          <w:szCs w:val="32"/>
          <w14:textFill>
            <w14:solidFill>
              <w14:schemeClr w14:val="tx1"/>
            </w14:solidFill>
          </w14:textFill>
        </w:rPr>
        <w:t>加快推进临泉</w:t>
      </w:r>
      <w:r>
        <w:rPr>
          <w:rFonts w:hint="eastAsia" w:ascii="仿宋_GB2312" w:hAnsi="Times New Roman" w:eastAsia="仿宋_GB2312"/>
          <w:sz w:val="32"/>
        </w:rPr>
        <w:t>循环经济与玻璃深加工产业基地建设，推动Low-E低辐射镀膜玻璃、防火玻璃、家装艺术玻璃、</w:t>
      </w:r>
      <w:r>
        <w:rPr>
          <w:rFonts w:hint="eastAsia" w:ascii="仿宋_GB2312" w:hAnsi="仿宋_GB2312" w:eastAsia="仿宋_GB2312" w:cs="仿宋_GB2312"/>
          <w:color w:val="000000" w:themeColor="text1"/>
          <w:sz w:val="32"/>
          <w:szCs w:val="32"/>
          <w14:textFill>
            <w14:solidFill>
              <w14:schemeClr w14:val="tx1"/>
            </w14:solidFill>
          </w14:textFill>
        </w:rPr>
        <w:t>特种玻璃、封接玻璃、微晶玻璃</w:t>
      </w:r>
      <w:r>
        <w:rPr>
          <w:rFonts w:hint="eastAsia" w:ascii="仿宋_GB2312" w:hAnsi="Times New Roman" w:eastAsia="仿宋_GB2312"/>
          <w:sz w:val="32"/>
        </w:rPr>
        <w:t>等深加工产品发展</w:t>
      </w:r>
      <w:r>
        <w:rPr>
          <w:rFonts w:hint="eastAsia" w:ascii="仿宋_GB2312" w:hAnsi="仿宋_GB2312" w:eastAsia="仿宋_GB2312" w:cs="仿宋_GB2312"/>
          <w:color w:val="000000" w:themeColor="text1"/>
          <w:sz w:val="32"/>
          <w:szCs w:val="32"/>
          <w14:textFill>
            <w14:solidFill>
              <w14:schemeClr w14:val="tx1"/>
            </w14:solidFill>
          </w14:textFill>
        </w:rPr>
        <w:t>。依托燕龙基新能源科技，</w:t>
      </w:r>
      <w:r>
        <w:rPr>
          <w:rFonts w:hint="eastAsia" w:ascii="仿宋_GB2312" w:hAnsi="Times New Roman" w:eastAsia="仿宋_GB2312"/>
          <w:sz w:val="32"/>
        </w:rPr>
        <w:t>鼓励太阳能光热、光伏与建筑装配一体化，带动光热光伏玻璃产业发展，支持发展电子信息用屏显玻璃基板、防火玻璃、汽车和高铁等用风挡玻璃基板等新产品，提高深加工水平和产品附加值，对接再生铝产业，发展高效节能门窗及系统门窗。</w:t>
      </w:r>
    </w:p>
    <w:p w14:paraId="28C049F6">
      <w:pPr>
        <w:pStyle w:val="13"/>
        <w:spacing w:line="600" w:lineRule="exact"/>
        <w:ind w:firstLine="643" w:firstLineChars="200"/>
        <w:rPr>
          <w:rFonts w:ascii="仿宋_GB2312" w:hAnsi="Times New Roman" w:eastAsia="仿宋_GB2312"/>
          <w:b/>
          <w:bCs/>
          <w:color w:val="000000"/>
          <w:sz w:val="32"/>
        </w:rPr>
      </w:pPr>
      <w:r>
        <w:rPr>
          <w:rFonts w:hint="eastAsia" w:ascii="仿宋_GB2312" w:hAnsi="Times New Roman" w:eastAsia="仿宋_GB2312"/>
          <w:b/>
          <w:bCs/>
          <w:color w:val="000000"/>
          <w:sz w:val="32"/>
        </w:rPr>
        <w:t>现代木结构用材。</w:t>
      </w:r>
      <w:r>
        <w:rPr>
          <w:rFonts w:hint="eastAsia" w:ascii="仿宋_GB2312" w:hAnsi="Times New Roman" w:eastAsia="仿宋_GB2312"/>
          <w:sz w:val="32"/>
        </w:rPr>
        <w:t>鼓励骨干木材深加工企业加强对本地特色速生杨木材资源的梯级利用，发展胶合板、中高密度纤维板、高性能空心刨花板等产品，同时探索发展</w:t>
      </w:r>
      <w:r>
        <w:rPr>
          <w:rFonts w:hint="eastAsia" w:ascii="仿宋_GB2312" w:hAnsi="仿宋_GB2312" w:eastAsia="仿宋_GB2312" w:cs="仿宋_GB2312"/>
          <w:color w:val="000000" w:themeColor="text1"/>
          <w:sz w:val="32"/>
          <w:szCs w:val="32"/>
          <w14:textFill>
            <w14:solidFill>
              <w14:schemeClr w14:val="tx1"/>
            </w14:solidFill>
          </w14:textFill>
        </w:rPr>
        <w:t>E0级低甲醛释放量板材等绿色环保型木制品，</w:t>
      </w:r>
      <w:r>
        <w:rPr>
          <w:rFonts w:hint="eastAsia" w:ascii="仿宋_GB2312" w:hAnsi="Times New Roman" w:eastAsia="仿宋_GB2312"/>
          <w:sz w:val="32"/>
        </w:rPr>
        <w:t>充分利用家具制造加工废料和农作物秸秆发展环保型中高密度板、颗粒板、木塑装饰板、木塑模板和木塑型材等生物质建材产品。利用各类人造板材与本地家具制造等产业深入对接，发展双饰面板、生态板等人造饰面板。</w:t>
      </w:r>
      <w:r>
        <w:rPr>
          <w:rFonts w:hint="eastAsia" w:ascii="仿宋_GB2312" w:hAnsi="Times New Roman" w:eastAsia="仿宋_GB2312"/>
          <w:color w:val="000000"/>
          <w:sz w:val="32"/>
        </w:rPr>
        <w:t>积极向集成厨卫、定制家具、复合地板等集成家装产品方向延伸发展，提高精深加工程度和产品附加值。</w:t>
      </w:r>
    </w:p>
    <w:p w14:paraId="650178A6">
      <w:pPr>
        <w:spacing w:line="600" w:lineRule="exact"/>
        <w:ind w:firstLine="643" w:firstLineChars="200"/>
        <w:outlineLvl w:val="1"/>
        <w:rPr>
          <w:rFonts w:ascii="楷体_GB2312" w:hAnsi="楷体_GB2312" w:eastAsia="楷体_GB2312" w:cs="楷体_GB2312"/>
          <w:b/>
          <w:bCs/>
          <w:sz w:val="32"/>
          <w:szCs w:val="32"/>
        </w:rPr>
      </w:pPr>
      <w:bookmarkStart w:id="262" w:name="_Toc14088"/>
      <w:bookmarkStart w:id="263" w:name="_Toc8138"/>
      <w:bookmarkStart w:id="264" w:name="_Toc23403"/>
      <w:bookmarkStart w:id="265" w:name="_Toc15361"/>
      <w:bookmarkStart w:id="266" w:name="_Toc8570"/>
      <w:bookmarkStart w:id="267" w:name="_Toc342"/>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八</w:t>
      </w:r>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电子信息及光电显示产业</w:t>
      </w:r>
      <w:bookmarkEnd w:id="262"/>
    </w:p>
    <w:p w14:paraId="15934AD1">
      <w:pPr>
        <w:pStyle w:val="14"/>
        <w:spacing w:after="0" w:line="240" w:lineRule="auto"/>
        <w:ind w:left="0" w:leftChars="0"/>
        <w:outlineLvl w:val="2"/>
        <w:rPr>
          <w:rFonts w:hint="eastAsia"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1.发展目标</w:t>
      </w:r>
    </w:p>
    <w:p w14:paraId="6CBE535F">
      <w:pPr>
        <w:spacing w:line="600" w:lineRule="exact"/>
        <w:ind w:firstLine="640" w:firstLineChars="200"/>
        <w:outlineLvl w:val="9"/>
        <w:rPr>
          <w:rFonts w:hint="eastAsia" w:ascii="Times New Roman" w:hAnsi="Times New Roman" w:eastAsia="仿宋_GB2312" w:cstheme="minorBidi"/>
          <w:b w:val="0"/>
          <w:bCs w:val="0"/>
          <w:sz w:val="32"/>
          <w:szCs w:val="32"/>
          <w:lang w:val="en-US" w:eastAsia="zh-CN"/>
        </w:rPr>
      </w:pPr>
      <w:r>
        <w:rPr>
          <w:rFonts w:hint="eastAsia" w:ascii="Times New Roman" w:hAnsi="Times New Roman" w:eastAsia="仿宋_GB2312" w:cstheme="minorBidi"/>
          <w:b w:val="0"/>
          <w:bCs w:val="0"/>
          <w:sz w:val="32"/>
          <w:szCs w:val="32"/>
          <w:lang w:val="en-US" w:eastAsia="zh-CN"/>
        </w:rPr>
        <w:t>依托阜合现代产业园、颍上芯颍半导体产业园，积极引进龙头企业，不断加强产业核心竞争力，做大做强电子信息及光电显示产业。到2025年，我市电子信息及光电显示产业规模进一步扩大，逐步形成从产品设计到产品制造和检测、从基础零部件到终端产品制造的全产业链，产业总产值达到200亿元。</w:t>
      </w:r>
    </w:p>
    <w:p w14:paraId="5891F6F6">
      <w:pPr>
        <w:spacing w:line="600" w:lineRule="exact"/>
        <w:ind w:firstLine="643" w:firstLineChars="200"/>
        <w:outlineLvl w:val="2"/>
        <w:rPr>
          <w:rFonts w:hint="eastAsia" w:ascii="仿宋_GB2312" w:hAnsi="仿宋_GB2312" w:eastAsia="仿宋_GB2312" w:cs="仿宋_GB2312"/>
          <w:b/>
          <w:bCs/>
          <w:sz w:val="32"/>
          <w:szCs w:val="24"/>
          <w:lang w:val="en-US" w:eastAsia="zh-CN"/>
        </w:rPr>
      </w:pPr>
      <w:r>
        <w:rPr>
          <w:rFonts w:hint="eastAsia" w:ascii="仿宋_GB2312" w:hAnsi="仿宋_GB2312" w:eastAsia="仿宋_GB2312" w:cs="仿宋_GB2312"/>
          <w:b/>
          <w:bCs/>
          <w:sz w:val="32"/>
          <w:szCs w:val="24"/>
          <w:lang w:val="en-US" w:eastAsia="zh-CN"/>
        </w:rPr>
        <w:t>2.发展现状</w:t>
      </w:r>
    </w:p>
    <w:p w14:paraId="215DB517">
      <w:pPr>
        <w:spacing w:line="600" w:lineRule="exact"/>
        <w:ind w:firstLine="643" w:firstLineChars="0"/>
        <w:rPr>
          <w:rFonts w:hint="eastAsia" w:ascii="Times New Roman" w:hAnsi="Times New Roman" w:eastAsia="仿宋_GB2312"/>
          <w:sz w:val="32"/>
          <w:szCs w:val="32"/>
          <w:lang w:val="en-US" w:eastAsia="zh-CN"/>
        </w:rPr>
      </w:pPr>
      <w:r>
        <w:rPr>
          <w:rFonts w:hint="eastAsia" w:ascii="Times New Roman" w:hAnsi="Times New Roman" w:eastAsia="仿宋_GB2312" w:cstheme="minorBidi"/>
          <w:b w:val="0"/>
          <w:bCs w:val="0"/>
          <w:sz w:val="32"/>
          <w:szCs w:val="32"/>
          <w:lang w:val="en-US" w:eastAsia="zh-CN"/>
        </w:rPr>
        <w:t>我市电子信息及光电显示产业，以欣奕华、国成光电、</w:t>
      </w:r>
      <w:r>
        <w:rPr>
          <w:rFonts w:hint="eastAsia" w:ascii="Times New Roman" w:hAnsi="Times New Roman" w:eastAsia="仿宋_GB2312" w:cstheme="minorBidi"/>
          <w:sz w:val="32"/>
          <w:szCs w:val="32"/>
        </w:rPr>
        <w:t>翔胜科技</w:t>
      </w:r>
      <w:r>
        <w:rPr>
          <w:rFonts w:hint="eastAsia" w:ascii="Times New Roman" w:hAnsi="Times New Roman" w:eastAsia="仿宋_GB2312" w:cstheme="minorBidi"/>
          <w:b w:val="0"/>
          <w:bCs w:val="0"/>
          <w:sz w:val="32"/>
          <w:szCs w:val="32"/>
          <w:lang w:val="en-US" w:eastAsia="zh-CN"/>
        </w:rPr>
        <w:t>等为龙头企业，产品包括上游电子材料及元器件、中游显示制造及集成电路制造、下游智能终端产品，已在阜合现代产业园、颍上芯颍半导体产业园、</w:t>
      </w:r>
      <w:r>
        <w:rPr>
          <w:rFonts w:hint="eastAsia" w:ascii="Times New Roman" w:hAnsi="Times New Roman" w:eastAsia="仿宋_GB2312"/>
          <w:b w:val="0"/>
          <w:bCs w:val="0"/>
          <w:sz w:val="32"/>
          <w:szCs w:val="32"/>
          <w:lang w:val="en-US" w:eastAsia="zh-CN"/>
        </w:rPr>
        <w:t>临泉县安徽电子信息产业园</w:t>
      </w:r>
      <w:r>
        <w:rPr>
          <w:rFonts w:hint="eastAsia" w:ascii="Times New Roman" w:hAnsi="Times New Roman" w:eastAsia="仿宋_GB2312" w:cstheme="minorBidi"/>
          <w:b w:val="0"/>
          <w:bCs w:val="0"/>
          <w:sz w:val="32"/>
          <w:szCs w:val="32"/>
          <w:lang w:val="en-US" w:eastAsia="zh-CN"/>
        </w:rPr>
        <w:t>、阜南台商产业园、阜南机械电子产业园等地初步形成集聚。但依然存在产业规模较小，核心竞争力不足；企业间耦合度低，产业链尚未完全形成；企业受研发资金约束，创新能力不足等问题。</w:t>
      </w:r>
    </w:p>
    <w:p w14:paraId="21868AA5">
      <w:pPr>
        <w:pStyle w:val="14"/>
        <w:spacing w:after="0" w:line="240" w:lineRule="auto"/>
        <w:ind w:left="0" w:leftChars="0"/>
        <w:outlineLvl w:val="2"/>
        <w:rPr>
          <w:rFonts w:hint="eastAsia" w:ascii="仿宋_GB2312" w:hAnsi="仿宋_GB2312" w:eastAsia="仿宋_GB2312" w:cs="仿宋_GB2312"/>
          <w:b/>
          <w:bCs/>
          <w:lang w:val="en-US" w:eastAsia="zh-CN"/>
        </w:rPr>
      </w:pPr>
      <w:r>
        <w:rPr>
          <w:rFonts w:hint="eastAsia" w:ascii="仿宋_GB2312" w:hAnsi="仿宋_GB2312" w:cs="仿宋_GB2312"/>
          <w:b/>
          <w:bCs/>
          <w:lang w:val="en-US" w:eastAsia="zh-CN"/>
        </w:rPr>
        <w:t>3</w:t>
      </w:r>
      <w:r>
        <w:rPr>
          <w:rFonts w:hint="eastAsia" w:ascii="仿宋_GB2312" w:hAnsi="仿宋_GB2312" w:eastAsia="仿宋_GB2312" w:cs="仿宋_GB2312"/>
          <w:b/>
          <w:bCs/>
          <w:lang w:val="en-US" w:eastAsia="zh-CN"/>
        </w:rPr>
        <w:t>.发展思路</w:t>
      </w:r>
    </w:p>
    <w:p w14:paraId="166DCFCB">
      <w:pPr>
        <w:pStyle w:val="23"/>
        <w:spacing w:after="0" w:line="600" w:lineRule="exact"/>
        <w:ind w:left="0" w:leftChars="0" w:firstLine="640"/>
        <w:rPr>
          <w:rFonts w:hint="eastAsia" w:ascii="Times New Roman" w:hAnsi="Times New Roman" w:eastAsia="仿宋_GB2312" w:cstheme="minorBidi"/>
          <w:sz w:val="32"/>
          <w:szCs w:val="32"/>
          <w:lang w:eastAsia="zh-CN"/>
        </w:rPr>
      </w:pPr>
      <w:r>
        <w:rPr>
          <w:rFonts w:hint="eastAsia" w:ascii="Times New Roman" w:hAnsi="Times New Roman" w:eastAsia="仿宋_GB2312" w:cstheme="minorBidi"/>
          <w:b/>
          <w:bCs/>
          <w:sz w:val="32"/>
          <w:szCs w:val="32"/>
          <w:lang w:val="en-US" w:eastAsia="zh-CN"/>
        </w:rPr>
        <w:t>（1）延伸产业链条。</w:t>
      </w:r>
      <w:r>
        <w:rPr>
          <w:rFonts w:hint="eastAsia" w:ascii="Times New Roman" w:hAnsi="Times New Roman" w:eastAsia="仿宋_GB2312" w:cstheme="minorBidi"/>
          <w:b w:val="0"/>
          <w:bCs w:val="0"/>
          <w:sz w:val="32"/>
          <w:szCs w:val="32"/>
        </w:rPr>
        <w:t>积极承接电子信息产业转移，</w:t>
      </w:r>
      <w:r>
        <w:rPr>
          <w:rFonts w:hint="eastAsia" w:ascii="Times New Roman" w:hAnsi="Times New Roman" w:eastAsia="仿宋_GB2312" w:cstheme="minorBidi"/>
          <w:sz w:val="32"/>
          <w:szCs w:val="32"/>
        </w:rPr>
        <w:t>紧抓</w:t>
      </w:r>
      <w:r>
        <w:rPr>
          <w:rFonts w:hint="eastAsia" w:ascii="Times New Roman" w:hAnsi="Times New Roman" w:eastAsia="仿宋_GB2312" w:cstheme="minorBidi"/>
          <w:sz w:val="32"/>
          <w:szCs w:val="32"/>
          <w:lang w:val="en-US" w:eastAsia="zh-CN"/>
        </w:rPr>
        <w:t>合肥、</w:t>
      </w:r>
      <w:r>
        <w:rPr>
          <w:rFonts w:hint="eastAsia" w:ascii="Times New Roman" w:hAnsi="Times New Roman" w:eastAsia="仿宋_GB2312" w:cstheme="minorBidi"/>
          <w:sz w:val="32"/>
          <w:szCs w:val="32"/>
        </w:rPr>
        <w:t>长三角</w:t>
      </w:r>
      <w:r>
        <w:rPr>
          <w:rFonts w:hint="eastAsia" w:ascii="Times New Roman" w:hAnsi="Times New Roman" w:eastAsia="仿宋_GB2312" w:cstheme="minorBidi"/>
          <w:sz w:val="32"/>
          <w:szCs w:val="32"/>
          <w:lang w:val="en-US" w:eastAsia="zh-CN"/>
        </w:rPr>
        <w:t>先发</w:t>
      </w:r>
      <w:r>
        <w:rPr>
          <w:rFonts w:hint="eastAsia" w:ascii="Times New Roman" w:hAnsi="Times New Roman" w:eastAsia="仿宋_GB2312" w:cstheme="minorBidi"/>
          <w:sz w:val="32"/>
          <w:szCs w:val="32"/>
        </w:rPr>
        <w:t>地区电子信息产业向中西部及二三线城市转移契机，培育</w:t>
      </w:r>
      <w:r>
        <w:rPr>
          <w:rFonts w:hint="eastAsia" w:ascii="Times New Roman" w:hAnsi="Times New Roman" w:eastAsia="仿宋_GB2312" w:cstheme="minorBidi"/>
          <w:sz w:val="32"/>
          <w:szCs w:val="32"/>
          <w:lang w:val="en-US" w:eastAsia="zh-CN"/>
        </w:rPr>
        <w:t>下游</w:t>
      </w:r>
      <w:r>
        <w:rPr>
          <w:rFonts w:hint="eastAsia" w:ascii="Times New Roman" w:hAnsi="Times New Roman" w:eastAsia="仿宋_GB2312" w:cstheme="minorBidi"/>
          <w:sz w:val="32"/>
          <w:szCs w:val="32"/>
        </w:rPr>
        <w:t>新型显示、智能终端</w:t>
      </w:r>
      <w:r>
        <w:rPr>
          <w:rFonts w:hint="eastAsia" w:ascii="Times New Roman" w:hAnsi="Times New Roman" w:eastAsia="仿宋_GB2312" w:cstheme="minorBidi"/>
          <w:sz w:val="32"/>
          <w:szCs w:val="32"/>
          <w:lang w:eastAsia="zh-CN"/>
        </w:rPr>
        <w:t>、</w:t>
      </w:r>
      <w:r>
        <w:rPr>
          <w:rFonts w:hint="eastAsia" w:ascii="Times New Roman" w:hAnsi="Times New Roman" w:eastAsia="仿宋_GB2312" w:cstheme="minorBidi"/>
          <w:sz w:val="32"/>
          <w:szCs w:val="32"/>
          <w:lang w:val="en-US" w:eastAsia="zh-CN"/>
        </w:rPr>
        <w:t>集成电路</w:t>
      </w:r>
      <w:r>
        <w:rPr>
          <w:rFonts w:hint="eastAsia" w:ascii="Times New Roman" w:hAnsi="Times New Roman" w:eastAsia="仿宋_GB2312" w:cstheme="minorBidi"/>
          <w:sz w:val="32"/>
          <w:szCs w:val="32"/>
        </w:rPr>
        <w:t>等领域，引进移动终端制造商和虚拟现实设备商，加快</w:t>
      </w:r>
      <w:r>
        <w:rPr>
          <w:rFonts w:hint="eastAsia" w:ascii="Times New Roman" w:hAnsi="Times New Roman" w:eastAsia="仿宋_GB2312" w:cstheme="minorBidi"/>
          <w:sz w:val="32"/>
          <w:szCs w:val="32"/>
          <w:lang w:eastAsia="zh-CN"/>
        </w:rPr>
        <w:t>以</w:t>
      </w:r>
      <w:r>
        <w:rPr>
          <w:rFonts w:hint="eastAsia" w:ascii="Times New Roman" w:hAnsi="Times New Roman" w:eastAsia="仿宋_GB2312" w:cstheme="minorBidi"/>
          <w:sz w:val="32"/>
          <w:szCs w:val="32"/>
        </w:rPr>
        <w:t>智能终端为代表的相关组件、电子材料、周边配件企业落地阜阳。依托翔胜科技、珀韵电子等企业，建设</w:t>
      </w:r>
      <w:r>
        <w:rPr>
          <w:rFonts w:hint="eastAsia" w:ascii="Times New Roman" w:hAnsi="Times New Roman" w:eastAsia="仿宋_GB2312" w:cstheme="minorBidi"/>
          <w:sz w:val="32"/>
          <w:szCs w:val="32"/>
          <w:highlight w:val="none"/>
        </w:rPr>
        <w:t>高能级电子信息产业园，</w:t>
      </w:r>
      <w:r>
        <w:rPr>
          <w:rFonts w:hint="eastAsia" w:ascii="Times New Roman" w:hAnsi="Times New Roman" w:eastAsia="仿宋_GB2312" w:cstheme="minorBidi"/>
          <w:sz w:val="32"/>
          <w:szCs w:val="32"/>
        </w:rPr>
        <w:t>以企业优势产品为核心，紧抓上下游配套需求，着力延伸产业链</w:t>
      </w:r>
      <w:r>
        <w:rPr>
          <w:rFonts w:hint="eastAsia" w:ascii="Times New Roman" w:hAnsi="Times New Roman" w:eastAsia="仿宋_GB2312" w:cstheme="minorBidi"/>
          <w:sz w:val="32"/>
          <w:szCs w:val="32"/>
          <w:lang w:eastAsia="zh-CN"/>
        </w:rPr>
        <w:t>。</w:t>
      </w:r>
      <w:r>
        <w:rPr>
          <w:rFonts w:hint="eastAsia" w:ascii="Times New Roman" w:hAnsi="Times New Roman" w:eastAsia="仿宋_GB2312" w:cstheme="minorBidi"/>
          <w:bCs w:val="0"/>
          <w:sz w:val="32"/>
          <w:szCs w:val="32"/>
          <w:lang w:val="en-US" w:eastAsia="zh-CN"/>
        </w:rPr>
        <w:t>搭建</w:t>
      </w:r>
      <w:r>
        <w:rPr>
          <w:rFonts w:hint="eastAsia" w:ascii="Times New Roman" w:hAnsi="Times New Roman" w:eastAsia="仿宋_GB2312" w:cstheme="minorBidi"/>
          <w:b w:val="0"/>
          <w:bCs w:val="0"/>
          <w:sz w:val="32"/>
          <w:szCs w:val="32"/>
          <w:lang w:val="en-US" w:eastAsia="zh-CN"/>
        </w:rPr>
        <w:t>电子信息及光电显示</w:t>
      </w:r>
      <w:r>
        <w:rPr>
          <w:rFonts w:hint="eastAsia" w:ascii="Times New Roman" w:hAnsi="Times New Roman" w:eastAsia="仿宋_GB2312" w:cstheme="minorBidi"/>
          <w:bCs w:val="0"/>
          <w:sz w:val="32"/>
          <w:szCs w:val="32"/>
          <w:lang w:val="en-US" w:eastAsia="zh-CN"/>
        </w:rPr>
        <w:t>产业供需平台，加强上下游协同，构建更加紧密的产业链合作关系。</w:t>
      </w:r>
    </w:p>
    <w:p w14:paraId="02141EEB">
      <w:pPr>
        <w:pStyle w:val="23"/>
        <w:spacing w:after="0" w:line="600" w:lineRule="exact"/>
        <w:ind w:left="0" w:leftChars="0" w:firstLine="640"/>
        <w:rPr>
          <w:rFonts w:hint="eastAsia" w:ascii="Times New Roman" w:hAnsi="Times New Roman" w:eastAsia="仿宋_GB2312" w:cstheme="minorBidi"/>
          <w:sz w:val="32"/>
          <w:szCs w:val="32"/>
          <w:lang w:eastAsia="zh-CN"/>
        </w:rPr>
      </w:pPr>
      <w:r>
        <w:rPr>
          <w:rFonts w:hint="eastAsia" w:ascii="Times New Roman" w:hAnsi="Times New Roman" w:eastAsia="仿宋_GB2312" w:cstheme="minorBidi"/>
          <w:b/>
          <w:bCs/>
          <w:sz w:val="32"/>
          <w:szCs w:val="32"/>
          <w:lang w:eastAsia="zh-CN"/>
        </w:rPr>
        <w:t>（</w:t>
      </w:r>
      <w:r>
        <w:rPr>
          <w:rFonts w:hint="eastAsia" w:ascii="Times New Roman" w:hAnsi="Times New Roman" w:eastAsia="仿宋_GB2312" w:cstheme="minorBidi"/>
          <w:b/>
          <w:bCs/>
          <w:sz w:val="32"/>
          <w:szCs w:val="32"/>
          <w:lang w:val="en-US" w:eastAsia="zh-CN"/>
        </w:rPr>
        <w:t>2</w:t>
      </w:r>
      <w:r>
        <w:rPr>
          <w:rFonts w:hint="eastAsia" w:ascii="Times New Roman" w:hAnsi="Times New Roman" w:eastAsia="仿宋_GB2312" w:cstheme="minorBidi"/>
          <w:b/>
          <w:bCs/>
          <w:sz w:val="32"/>
          <w:szCs w:val="32"/>
          <w:lang w:eastAsia="zh-CN"/>
        </w:rPr>
        <w:t>）</w:t>
      </w:r>
      <w:r>
        <w:rPr>
          <w:rFonts w:hint="eastAsia" w:ascii="Times New Roman" w:hAnsi="Times New Roman" w:eastAsia="仿宋_GB2312" w:cstheme="minorBidi"/>
          <w:b/>
          <w:bCs/>
          <w:sz w:val="32"/>
          <w:szCs w:val="32"/>
          <w:lang w:val="en-US" w:eastAsia="zh-CN"/>
        </w:rPr>
        <w:t>提高企业创新能力。</w:t>
      </w:r>
      <w:r>
        <w:rPr>
          <w:rFonts w:hint="eastAsia" w:ascii="Times New Roman" w:hAnsi="Times New Roman" w:eastAsia="仿宋_GB2312" w:cstheme="minorBidi"/>
          <w:b w:val="0"/>
          <w:bCs w:val="0"/>
          <w:sz w:val="32"/>
          <w:szCs w:val="32"/>
          <w:lang w:val="en-US" w:eastAsia="zh-CN"/>
        </w:rPr>
        <w:t>大力推进科技企业孵化器、众创空间和产业创新综合体等创新载体建设，围绕机械电子、新型显示材料、集成电路等产业链关键领域，推动</w:t>
      </w:r>
      <w:r>
        <w:rPr>
          <w:rFonts w:hint="eastAsia" w:ascii="Times New Roman" w:hAnsi="Times New Roman" w:eastAsia="仿宋_GB2312" w:cstheme="minorBidi"/>
          <w:sz w:val="32"/>
          <w:szCs w:val="32"/>
        </w:rPr>
        <w:t>共性</w:t>
      </w:r>
      <w:r>
        <w:rPr>
          <w:rFonts w:hint="eastAsia" w:ascii="Times New Roman" w:hAnsi="Times New Roman" w:eastAsia="仿宋_GB2312" w:cstheme="minorBidi"/>
          <w:sz w:val="32"/>
          <w:szCs w:val="32"/>
          <w:lang w:val="en-US" w:eastAsia="zh-CN"/>
        </w:rPr>
        <w:t>关键技术攻关和产业化。</w:t>
      </w:r>
      <w:r>
        <w:rPr>
          <w:rFonts w:hint="eastAsia" w:ascii="Times New Roman" w:hAnsi="Times New Roman" w:eastAsia="仿宋_GB2312"/>
          <w:b w:val="0"/>
          <w:bCs w:val="0"/>
          <w:sz w:val="32"/>
          <w:szCs w:val="32"/>
          <w:lang w:val="en-US" w:eastAsia="zh-CN"/>
        </w:rPr>
        <w:t>推进产学研深度融合，</w:t>
      </w:r>
      <w:r>
        <w:rPr>
          <w:rFonts w:hint="eastAsia" w:ascii="Times New Roman" w:hAnsi="Times New Roman" w:eastAsia="仿宋_GB2312" w:cstheme="minorBidi"/>
          <w:sz w:val="32"/>
          <w:szCs w:val="32"/>
          <w:lang w:val="en-US" w:eastAsia="zh-CN"/>
        </w:rPr>
        <w:t>支持</w:t>
      </w:r>
      <w:r>
        <w:rPr>
          <w:rFonts w:hint="eastAsia" w:ascii="Times New Roman" w:hAnsi="Times New Roman" w:eastAsia="仿宋_GB2312" w:cstheme="minorBidi"/>
          <w:sz w:val="32"/>
          <w:szCs w:val="32"/>
        </w:rPr>
        <w:t>骨干企业</w:t>
      </w:r>
      <w:r>
        <w:rPr>
          <w:rFonts w:hint="eastAsia" w:ascii="Times New Roman" w:hAnsi="Times New Roman" w:eastAsia="仿宋_GB2312" w:cstheme="minorBidi"/>
          <w:sz w:val="32"/>
          <w:szCs w:val="32"/>
          <w:lang w:val="en-US" w:eastAsia="zh-CN"/>
        </w:rPr>
        <w:t>与复旦大学、中国电子科技集团公司第三十八研究所等</w:t>
      </w:r>
      <w:r>
        <w:rPr>
          <w:rFonts w:hint="eastAsia" w:ascii="Times New Roman" w:hAnsi="Times New Roman" w:eastAsia="仿宋_GB2312" w:cstheme="minorBidi"/>
          <w:sz w:val="32"/>
          <w:szCs w:val="32"/>
        </w:rPr>
        <w:t>高校</w:t>
      </w:r>
      <w:r>
        <w:rPr>
          <w:rFonts w:hint="eastAsia" w:ascii="Times New Roman" w:hAnsi="Times New Roman" w:eastAsia="仿宋_GB2312" w:cstheme="minorBidi"/>
          <w:sz w:val="32"/>
          <w:szCs w:val="32"/>
          <w:lang w:val="en-US" w:eastAsia="zh-CN"/>
        </w:rPr>
        <w:t>及</w:t>
      </w:r>
      <w:r>
        <w:rPr>
          <w:rFonts w:hint="eastAsia" w:ascii="Times New Roman" w:hAnsi="Times New Roman" w:eastAsia="仿宋_GB2312" w:cstheme="minorBidi"/>
          <w:sz w:val="32"/>
          <w:szCs w:val="32"/>
        </w:rPr>
        <w:t>科研院所</w:t>
      </w:r>
      <w:r>
        <w:rPr>
          <w:rFonts w:hint="eastAsia" w:ascii="Times New Roman" w:hAnsi="Times New Roman" w:eastAsia="仿宋_GB2312" w:cstheme="minorBidi"/>
          <w:sz w:val="32"/>
          <w:szCs w:val="32"/>
          <w:lang w:val="en-US" w:eastAsia="zh-CN"/>
        </w:rPr>
        <w:t>建立合作关系，推进科技成果转化</w:t>
      </w:r>
      <w:r>
        <w:rPr>
          <w:rFonts w:hint="eastAsia" w:ascii="Times New Roman" w:hAnsi="Times New Roman" w:eastAsia="仿宋_GB2312" w:cstheme="minorBidi"/>
          <w:sz w:val="32"/>
          <w:szCs w:val="32"/>
        </w:rPr>
        <w:t>。</w:t>
      </w:r>
      <w:r>
        <w:rPr>
          <w:rFonts w:hint="eastAsia" w:ascii="Times New Roman" w:hAnsi="Times New Roman" w:eastAsia="仿宋_GB2312" w:cstheme="minorBidi"/>
          <w:b w:val="0"/>
          <w:bCs w:val="0"/>
          <w:sz w:val="32"/>
          <w:szCs w:val="32"/>
          <w:lang w:val="en-US" w:eastAsia="zh-CN"/>
        </w:rPr>
        <w:t>遴选一批自主创新能力强、市场前景好的高成长型科技企业，纳入高新技术企业培育库进行重点扶持，</w:t>
      </w:r>
      <w:r>
        <w:rPr>
          <w:rFonts w:hint="eastAsia" w:ascii="Times New Roman" w:hAnsi="Times New Roman" w:eastAsia="仿宋_GB2312" w:cstheme="minorBidi"/>
          <w:sz w:val="32"/>
          <w:szCs w:val="32"/>
        </w:rPr>
        <w:t>培育“单项冠军”“小巨人”“独角兽”企业</w:t>
      </w:r>
      <w:r>
        <w:rPr>
          <w:rFonts w:hint="eastAsia" w:ascii="Times New Roman" w:hAnsi="Times New Roman" w:eastAsia="仿宋_GB2312" w:cstheme="minorBidi"/>
          <w:sz w:val="32"/>
          <w:szCs w:val="32"/>
          <w:lang w:eastAsia="zh-CN"/>
        </w:rPr>
        <w:t>。</w:t>
      </w:r>
    </w:p>
    <w:p w14:paraId="35B48DDD">
      <w:pPr>
        <w:pStyle w:val="14"/>
        <w:spacing w:after="0" w:line="240" w:lineRule="auto"/>
        <w:ind w:left="0" w:leftChars="0"/>
        <w:outlineLvl w:val="2"/>
        <w:rPr>
          <w:rFonts w:hint="eastAsia" w:ascii="仿宋_GB2312" w:hAnsi="仿宋_GB2312" w:eastAsia="仿宋_GB2312" w:cs="仿宋_GB2312"/>
          <w:b/>
          <w:bCs/>
          <w:lang w:val="en-US" w:eastAsia="zh-CN"/>
        </w:rPr>
      </w:pPr>
      <w:r>
        <w:rPr>
          <w:rFonts w:hint="eastAsia" w:ascii="仿宋_GB2312" w:hAnsi="仿宋_GB2312" w:cs="仿宋_GB2312"/>
          <w:b/>
          <w:bCs/>
          <w:lang w:val="en-US" w:eastAsia="zh-CN"/>
        </w:rPr>
        <w:t>4</w:t>
      </w:r>
      <w:r>
        <w:rPr>
          <w:rFonts w:hint="eastAsia" w:ascii="仿宋_GB2312" w:hAnsi="仿宋_GB2312" w:eastAsia="仿宋_GB2312" w:cs="仿宋_GB2312"/>
          <w:b/>
          <w:bCs/>
          <w:lang w:val="en-US" w:eastAsia="zh-CN"/>
        </w:rPr>
        <w:t>.发展重点</w:t>
      </w:r>
    </w:p>
    <w:p w14:paraId="511DF800">
      <w:pPr>
        <w:spacing w:line="600" w:lineRule="exact"/>
        <w:ind w:firstLine="640" w:firstLineChars="200"/>
        <w:outlineLvl w:val="9"/>
        <w:rPr>
          <w:rFonts w:hint="eastAsia" w:ascii="Times New Roman" w:hAnsi="Times New Roman" w:eastAsia="仿宋_GB2312" w:cstheme="minorBidi"/>
          <w:b w:val="0"/>
          <w:bCs w:val="0"/>
          <w:sz w:val="32"/>
          <w:szCs w:val="32"/>
          <w:lang w:val="en-US" w:eastAsia="zh-CN"/>
        </w:rPr>
      </w:pPr>
      <w:r>
        <w:rPr>
          <w:rFonts w:hint="eastAsia" w:ascii="Times New Roman" w:hAnsi="Times New Roman" w:eastAsia="仿宋_GB2312" w:cstheme="minorBidi"/>
          <w:b w:val="0"/>
          <w:bCs w:val="0"/>
          <w:sz w:val="32"/>
          <w:szCs w:val="32"/>
          <w:lang w:val="en-US" w:eastAsia="zh-CN"/>
        </w:rPr>
        <w:t>（1）重点发展</w:t>
      </w:r>
    </w:p>
    <w:p w14:paraId="0E080539">
      <w:pPr>
        <w:pStyle w:val="14"/>
        <w:spacing w:after="0" w:line="600" w:lineRule="exact"/>
        <w:ind w:left="0" w:leftChars="0"/>
        <w:rPr>
          <w:rFonts w:hint="eastAsia"/>
          <w:b/>
          <w:bCs/>
          <w:lang w:val="en-US" w:eastAsia="zh-CN"/>
        </w:rPr>
      </w:pPr>
      <w:r>
        <w:rPr>
          <w:rFonts w:hint="eastAsia"/>
          <w:b/>
          <w:bCs/>
          <w:lang w:val="en-US" w:eastAsia="zh-CN"/>
        </w:rPr>
        <w:t>机械电子。</w:t>
      </w:r>
      <w:r>
        <w:rPr>
          <w:rFonts w:hint="eastAsia"/>
          <w:b w:val="0"/>
          <w:bCs w:val="0"/>
          <w:lang w:val="en-US" w:eastAsia="zh-CN"/>
        </w:rPr>
        <w:t>重点发展断路器开关、变压器、变电站、高低压开关柜、马达、电梯、矿山机械、环保设备等产品。重点突破数字化设计与制造、节能环保、智能控制等关键共性技术，提升机电设备核心</w:t>
      </w:r>
      <w:r>
        <w:rPr>
          <w:rFonts w:hint="eastAsia" w:ascii="Times New Roman" w:hAnsi="Times New Roman" w:cs="Times New Roman"/>
          <w:b w:val="0"/>
          <w:bCs w:val="0"/>
          <w:lang w:val="en-US" w:eastAsia="zh-CN"/>
        </w:rPr>
        <w:t>零部件水平，开发集机电液于一体的智能系统和单元系统。支持皖宏电气、</w:t>
      </w:r>
      <w:r>
        <w:rPr>
          <w:rFonts w:hint="eastAsia" w:ascii="Times New Roman" w:hAnsi="Times New Roman" w:eastAsia="仿宋_GB2312"/>
          <w:sz w:val="32"/>
          <w:lang w:eastAsia="zh-CN"/>
        </w:rPr>
        <w:t>泰力电器、人民电气</w:t>
      </w:r>
      <w:r>
        <w:rPr>
          <w:rFonts w:hint="eastAsia" w:ascii="Times New Roman" w:hAnsi="Times New Roman" w:cs="Times New Roman"/>
          <w:b w:val="0"/>
          <w:bCs w:val="0"/>
          <w:lang w:val="en-US" w:eastAsia="zh-CN"/>
        </w:rPr>
        <w:t>等骨干企业发展，推动机电设备向产品高端化</w:t>
      </w:r>
      <w:r>
        <w:rPr>
          <w:rFonts w:hint="eastAsia"/>
          <w:b w:val="0"/>
          <w:bCs w:val="0"/>
          <w:lang w:val="en-US" w:eastAsia="zh-CN"/>
        </w:rPr>
        <w:t>、设计模块化、制造流程化升级，做大做强机电产业。</w:t>
      </w:r>
    </w:p>
    <w:p w14:paraId="5B48145F">
      <w:pPr>
        <w:spacing w:line="600" w:lineRule="exact"/>
        <w:ind w:firstLine="643" w:firstLineChars="200"/>
        <w:outlineLvl w:val="9"/>
        <w:rPr>
          <w:rFonts w:hint="eastAsia" w:ascii="Times New Roman" w:hAnsi="Times New Roman" w:eastAsia="仿宋_GB2312" w:cs="Times New Roman"/>
          <w:sz w:val="32"/>
          <w:szCs w:val="24"/>
          <w:lang w:eastAsia="zh-CN"/>
        </w:rPr>
      </w:pPr>
      <w:r>
        <w:rPr>
          <w:rFonts w:hint="eastAsia" w:ascii="Times New Roman" w:hAnsi="Times New Roman" w:eastAsia="仿宋_GB2312" w:cs="Times New Roman"/>
          <w:b/>
          <w:bCs/>
          <w:sz w:val="32"/>
          <w:lang w:val="en-US" w:eastAsia="zh-CN"/>
        </w:rPr>
        <w:t>新型显示材料。</w:t>
      </w:r>
      <w:r>
        <w:rPr>
          <w:rFonts w:hint="eastAsia" w:ascii="Times New Roman" w:hAnsi="Times New Roman" w:eastAsia="仿宋_GB2312" w:cs="Times New Roman"/>
          <w:b w:val="0"/>
          <w:bCs w:val="0"/>
          <w:sz w:val="32"/>
          <w:lang w:val="en-US" w:eastAsia="zh-CN"/>
        </w:rPr>
        <w:t>加快推</w:t>
      </w:r>
      <w:r>
        <w:rPr>
          <w:rFonts w:hint="eastAsia" w:ascii="Times New Roman" w:hAnsi="Times New Roman" w:eastAsia="仿宋_GB2312" w:cs="Times New Roman"/>
          <w:b w:val="0"/>
          <w:bCs w:val="0"/>
          <w:sz w:val="32"/>
          <w:highlight w:val="none"/>
          <w:lang w:val="en-US" w:eastAsia="zh-CN"/>
        </w:rPr>
        <w:t>进颍泉光电显示产业园、颍上芯颍半导体产业园建设</w:t>
      </w:r>
      <w:r>
        <w:rPr>
          <w:rFonts w:hint="eastAsia" w:ascii="Times New Roman" w:hAnsi="Times New Roman" w:eastAsia="仿宋_GB2312" w:cs="Times New Roman"/>
          <w:b w:val="0"/>
          <w:bCs w:val="0"/>
          <w:sz w:val="32"/>
          <w:lang w:val="en-US" w:eastAsia="zh-CN"/>
        </w:rPr>
        <w:t>，依托欣奕华、彩虹、觅拓等龙头企业，重点发展彩色光刻胶、液晶、OLED材料等新型显示材料。以彩色光刻胶为核心产品，推动企业扩大产能，提高产品合格率和分辨率，加快研发彩膜光刻胶上游核心材料颜料液和树脂，实现国产化供应。积极谋划与合肥新型显示产业配套发展，强化产品开发，降低生产成本。</w:t>
      </w:r>
      <w:r>
        <w:rPr>
          <w:rFonts w:hint="eastAsia" w:ascii="Times New Roman" w:hAnsi="Times New Roman" w:eastAsia="仿宋_GB2312" w:cs="Times New Roman"/>
          <w:sz w:val="32"/>
          <w:szCs w:val="24"/>
        </w:rPr>
        <w:t>依托锦臣兴亚克力等企业，进一步</w:t>
      </w:r>
      <w:r>
        <w:rPr>
          <w:rFonts w:hint="eastAsia" w:ascii="Times New Roman" w:hAnsi="Times New Roman" w:eastAsia="仿宋_GB2312" w:cs="Times New Roman"/>
          <w:sz w:val="32"/>
          <w:szCs w:val="24"/>
          <w:lang w:val="en-US" w:eastAsia="zh-CN"/>
        </w:rPr>
        <w:t>发展</w:t>
      </w:r>
      <w:r>
        <w:rPr>
          <w:rFonts w:hint="eastAsia" w:ascii="Times New Roman" w:hAnsi="Times New Roman" w:eastAsia="仿宋_GB2312" w:cs="Times New Roman"/>
          <w:sz w:val="32"/>
          <w:szCs w:val="24"/>
        </w:rPr>
        <w:t>显示器导光板等高性能光学级材料</w:t>
      </w:r>
      <w:r>
        <w:rPr>
          <w:rFonts w:hint="eastAsia" w:ascii="Times New Roman" w:hAnsi="Times New Roman" w:eastAsia="仿宋_GB2312" w:cs="Times New Roman"/>
          <w:sz w:val="32"/>
          <w:szCs w:val="24"/>
          <w:lang w:eastAsia="zh-CN"/>
        </w:rPr>
        <w:t>。</w:t>
      </w:r>
    </w:p>
    <w:p w14:paraId="5623C4B5">
      <w:pPr>
        <w:spacing w:line="600" w:lineRule="exact"/>
        <w:ind w:firstLine="640" w:firstLineChars="200"/>
        <w:outlineLvl w:val="9"/>
        <w:rPr>
          <w:rFonts w:hint="eastAsia" w:ascii="Times New Roman" w:hAnsi="Times New Roman" w:eastAsia="仿宋_GB2312" w:cstheme="minorBidi"/>
          <w:b w:val="0"/>
          <w:bCs w:val="0"/>
          <w:sz w:val="32"/>
          <w:szCs w:val="32"/>
          <w:lang w:val="en-US" w:eastAsia="zh-CN"/>
        </w:rPr>
      </w:pPr>
      <w:r>
        <w:rPr>
          <w:rFonts w:hint="eastAsia" w:ascii="Times New Roman" w:hAnsi="Times New Roman" w:eastAsia="仿宋_GB2312" w:cstheme="minorBidi"/>
          <w:b w:val="0"/>
          <w:bCs w:val="0"/>
          <w:sz w:val="32"/>
          <w:szCs w:val="32"/>
          <w:lang w:eastAsia="zh-CN"/>
        </w:rPr>
        <w:t>（</w:t>
      </w:r>
      <w:r>
        <w:rPr>
          <w:rFonts w:hint="eastAsia" w:ascii="Times New Roman" w:hAnsi="Times New Roman" w:eastAsia="仿宋_GB2312" w:cstheme="minorBidi"/>
          <w:b w:val="0"/>
          <w:bCs w:val="0"/>
          <w:sz w:val="32"/>
          <w:szCs w:val="32"/>
          <w:lang w:val="en-US" w:eastAsia="zh-CN"/>
        </w:rPr>
        <w:t>2</w:t>
      </w:r>
      <w:r>
        <w:rPr>
          <w:rFonts w:hint="eastAsia" w:ascii="Times New Roman" w:hAnsi="Times New Roman" w:eastAsia="仿宋_GB2312" w:cstheme="minorBidi"/>
          <w:b w:val="0"/>
          <w:bCs w:val="0"/>
          <w:sz w:val="32"/>
          <w:szCs w:val="32"/>
          <w:lang w:eastAsia="zh-CN"/>
        </w:rPr>
        <w:t>）</w:t>
      </w:r>
      <w:r>
        <w:rPr>
          <w:rFonts w:hint="eastAsia" w:ascii="Times New Roman" w:hAnsi="Times New Roman" w:eastAsia="仿宋_GB2312" w:cstheme="minorBidi"/>
          <w:b w:val="0"/>
          <w:bCs w:val="0"/>
          <w:sz w:val="32"/>
          <w:szCs w:val="32"/>
          <w:lang w:val="en-US" w:eastAsia="zh-CN"/>
        </w:rPr>
        <w:t>大力发展</w:t>
      </w:r>
    </w:p>
    <w:p w14:paraId="4A2AC875">
      <w:pPr>
        <w:spacing w:line="600" w:lineRule="exact"/>
        <w:ind w:firstLine="643" w:firstLineChars="200"/>
        <w:outlineLvl w:val="9"/>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b/>
          <w:bCs/>
          <w:sz w:val="32"/>
          <w:lang w:val="en-US" w:eastAsia="zh-CN"/>
        </w:rPr>
        <w:t>集成电路。</w:t>
      </w:r>
      <w:r>
        <w:rPr>
          <w:rFonts w:hint="eastAsia" w:ascii="Times New Roman" w:hAnsi="Times New Roman" w:eastAsia="仿宋_GB2312" w:cs="Times New Roman"/>
          <w:b w:val="0"/>
          <w:bCs w:val="0"/>
          <w:sz w:val="32"/>
          <w:lang w:val="en-US" w:eastAsia="zh-CN"/>
        </w:rPr>
        <w:t>以颍上县芯颍半导体产业园、临泉县安徽电子信息产业园为依托，培育引进驱动芯片、电源管理芯片、射频芯片等领域设计企业，吸引和集聚一批封装测试与材料企业，增强产业配套能力。</w:t>
      </w:r>
      <w:r>
        <w:rPr>
          <w:rFonts w:hint="eastAsia" w:ascii="Times New Roman" w:hAnsi="Times New Roman" w:eastAsia="仿宋_GB2312" w:cs="Times New Roman"/>
          <w:sz w:val="32"/>
          <w:szCs w:val="24"/>
          <w:lang w:val="en-US" w:eastAsia="zh-CN"/>
        </w:rPr>
        <w:t>支持欣奕华、翔胜科技等企业</w:t>
      </w:r>
      <w:r>
        <w:rPr>
          <w:rFonts w:hint="eastAsia" w:ascii="Times New Roman" w:hAnsi="Times New Roman" w:eastAsia="仿宋_GB2312" w:cs="Times New Roman"/>
          <w:kern w:val="2"/>
          <w:sz w:val="32"/>
          <w:szCs w:val="24"/>
          <w:lang w:val="en-US" w:eastAsia="zh-CN" w:bidi="ar-SA"/>
        </w:rPr>
        <w:t>加大对成长动力最强、发展空间最广、技术含量最高的ArF和KrF半导体光刻胶的研究力度，提高光刻胶产品附加值。</w:t>
      </w:r>
      <w:r>
        <w:rPr>
          <w:rFonts w:hint="eastAsia" w:ascii="Times New Roman" w:hAnsi="Times New Roman" w:eastAsia="仿宋_GB2312" w:cs="Times New Roman"/>
          <w:b w:val="0"/>
          <w:bCs w:val="0"/>
          <w:sz w:val="32"/>
          <w:lang w:val="en-US" w:eastAsia="zh-CN"/>
        </w:rPr>
        <w:t>加快发展金属掩膜板、芯片电阻、柔性光学膜、溅射靶材等集成电路配套材料。</w:t>
      </w:r>
    </w:p>
    <w:p w14:paraId="320191D4">
      <w:pPr>
        <w:spacing w:line="600" w:lineRule="exact"/>
        <w:ind w:firstLine="643"/>
        <w:outlineLvl w:val="9"/>
        <w:rPr>
          <w:rFonts w:hint="eastAsia" w:ascii="Times New Roman" w:hAnsi="Times New Roman" w:eastAsia="仿宋_GB2312" w:cstheme="minorBidi"/>
          <w:b w:val="0"/>
          <w:bCs w:val="0"/>
          <w:sz w:val="32"/>
          <w:szCs w:val="32"/>
          <w:lang w:val="en-US" w:eastAsia="zh-CN"/>
        </w:rPr>
      </w:pPr>
      <w:r>
        <w:rPr>
          <w:rFonts w:hint="eastAsia" w:ascii="Times New Roman" w:hAnsi="Times New Roman" w:eastAsia="仿宋_GB2312" w:cstheme="minorBidi"/>
          <w:b w:val="0"/>
          <w:bCs w:val="0"/>
          <w:sz w:val="32"/>
          <w:szCs w:val="32"/>
          <w:lang w:val="en-US" w:eastAsia="zh-CN"/>
        </w:rPr>
        <w:t>（3）培育发展</w:t>
      </w:r>
    </w:p>
    <w:p w14:paraId="17CB02C7">
      <w:pPr>
        <w:spacing w:line="600" w:lineRule="exact"/>
        <w:ind w:firstLine="643" w:firstLineChars="200"/>
        <w:outlineLvl w:val="9"/>
        <w:rPr>
          <w:rFonts w:hint="eastAsia" w:ascii="Times New Roman" w:hAnsi="Times New Roman" w:eastAsia="仿宋_GB2312" w:cstheme="minorBidi"/>
          <w:b w:val="0"/>
          <w:bCs w:val="0"/>
          <w:sz w:val="32"/>
          <w:szCs w:val="32"/>
          <w:lang w:val="en-US" w:eastAsia="zh-CN"/>
        </w:rPr>
      </w:pPr>
      <w:r>
        <w:rPr>
          <w:rFonts w:hint="eastAsia" w:ascii="Times New Roman" w:hAnsi="Times New Roman" w:eastAsia="仿宋_GB2312"/>
          <w:b/>
          <w:bCs/>
          <w:sz w:val="32"/>
          <w:szCs w:val="32"/>
          <w:lang w:val="en-US" w:eastAsia="zh-CN"/>
        </w:rPr>
        <w:t>显示终端。</w:t>
      </w:r>
      <w:r>
        <w:rPr>
          <w:rFonts w:hint="eastAsia" w:ascii="Times New Roman" w:hAnsi="Times New Roman" w:eastAsia="仿宋_GB2312"/>
          <w:b w:val="0"/>
          <w:bCs w:val="0"/>
          <w:sz w:val="32"/>
          <w:szCs w:val="32"/>
          <w:lang w:val="en-US" w:eastAsia="zh-CN"/>
        </w:rPr>
        <w:t>依托阜合现代产业园、颍泉</w:t>
      </w:r>
      <w:r>
        <w:rPr>
          <w:rFonts w:hint="eastAsia" w:ascii="Times New Roman" w:hAnsi="Times New Roman" w:eastAsia="仿宋_GB2312" w:cstheme="minorBidi"/>
          <w:b w:val="0"/>
          <w:bCs w:val="0"/>
          <w:sz w:val="32"/>
          <w:szCs w:val="32"/>
          <w:lang w:val="en-US" w:eastAsia="zh-CN"/>
        </w:rPr>
        <w:t>光电显示产业园，加快推进东莞昂平电子触摸屏生产、大尺寸盖板生产项目TFT及OLED显示模组生产、年产700万件玻璃盖板触摸屏生产等项目建设，重点发展玻璃盖板、OLED显示屏/模组、触摸屏/模组等显示终端产品，延伸发展智能穿戴设备、手机、平板电脑、智能手环等智能终端产品。</w:t>
      </w:r>
    </w:p>
    <w:p w14:paraId="1BFC5ECC">
      <w:pPr>
        <w:pStyle w:val="23"/>
        <w:spacing w:after="0" w:line="600" w:lineRule="exact"/>
        <w:ind w:left="0" w:leftChars="0" w:firstLine="640"/>
        <w:outlineLvl w:val="1"/>
        <w:rPr>
          <w:rFonts w:hint="eastAsia" w:ascii="楷体_GB2312" w:hAnsi="楷体_GB2312" w:eastAsia="楷体_GB2312" w:cs="楷体_GB2312"/>
          <w:b/>
          <w:bCs/>
          <w:sz w:val="32"/>
          <w:szCs w:val="32"/>
          <w:lang w:val="en-US" w:eastAsia="zh-CN"/>
        </w:rPr>
      </w:pPr>
      <w:bookmarkStart w:id="268" w:name="_Toc19650"/>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九</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其他工业产业</w:t>
      </w:r>
      <w:bookmarkEnd w:id="251"/>
      <w:bookmarkEnd w:id="263"/>
      <w:bookmarkEnd w:id="264"/>
      <w:bookmarkEnd w:id="265"/>
      <w:bookmarkEnd w:id="266"/>
      <w:bookmarkEnd w:id="267"/>
      <w:bookmarkEnd w:id="268"/>
    </w:p>
    <w:p w14:paraId="06DBC3E2">
      <w:pPr>
        <w:spacing w:line="600" w:lineRule="exact"/>
        <w:ind w:firstLine="643" w:firstLineChars="200"/>
        <w:outlineLvl w:val="2"/>
        <w:rPr>
          <w:rFonts w:ascii="仿宋_GB2312" w:hAnsi="仿宋_GB2312" w:eastAsia="仿宋_GB2312" w:cs="仿宋_GB2312"/>
          <w:b/>
          <w:sz w:val="32"/>
          <w:szCs w:val="32"/>
        </w:rPr>
      </w:pPr>
      <w:r>
        <w:rPr>
          <w:rFonts w:hint="eastAsia" w:ascii="Times New Roman" w:hAnsi="Times New Roman" w:eastAsia="仿宋_GB2312" w:cstheme="minorBidi"/>
          <w:b/>
          <w:bCs/>
          <w:sz w:val="32"/>
          <w:szCs w:val="32"/>
          <w:lang w:val="en-US" w:eastAsia="zh-CN"/>
        </w:rPr>
        <w:t>1.</w:t>
      </w:r>
      <w:r>
        <w:rPr>
          <w:rFonts w:hint="eastAsia" w:ascii="仿宋_GB2312" w:hAnsi="仿宋_GB2312" w:eastAsia="仿宋_GB2312" w:cs="仿宋_GB2312"/>
          <w:b/>
          <w:sz w:val="32"/>
          <w:szCs w:val="32"/>
        </w:rPr>
        <w:t>柳木加工</w:t>
      </w:r>
    </w:p>
    <w:p w14:paraId="4B6C75BD">
      <w:pPr>
        <w:pStyle w:val="23"/>
        <w:spacing w:after="0" w:line="600" w:lineRule="exact"/>
        <w:ind w:left="0" w:leftChars="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依托阜南县柳木产业基础，重点发展高档板材、文教用品、木制家具、户外家居、柳木工艺品、旅游纪念品等柳木加工产品，推动产业向规模化、艺术化、生态化方向发展。充分利用媒体以及参展广交会、文博会等窗口，广泛开展宣传推介，积极承接粤、浙、鲁、闽等地柳木加工上下游配套产业转移，延伸拓展柳木加工产业链条，建设全国柳木文化产品交易平台，扩大产业生产销售规模；瞄准目标市场，鼓励支持柳木企业加大技改研发投入，注重使用新材料、新技术，开发原生态、绿色化、环保型的产品；注重产品与文化、艺术融合，向户外家居、艺术珍藏方向转型，提高产品附加值，提高产品效益。到2025年，建成高水平柳木特色产业集群、柳木艺术传承基地、柳木文化创新中心，柳木加工产业产值达到150亿元。</w:t>
      </w:r>
    </w:p>
    <w:p w14:paraId="36DFD2C1">
      <w:pPr>
        <w:spacing w:line="600" w:lineRule="exact"/>
        <w:ind w:firstLine="643" w:firstLineChars="200"/>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lang w:val="en-US" w:eastAsia="zh-CN"/>
        </w:rPr>
        <w:t>2</w:t>
      </w:r>
      <w:r>
        <w:rPr>
          <w:rFonts w:hint="eastAsia" w:ascii="仿宋_GB2312" w:hAnsi="仿宋_GB2312" w:eastAsia="仿宋_GB2312" w:cs="仿宋_GB2312"/>
          <w:b/>
          <w:sz w:val="32"/>
          <w:szCs w:val="32"/>
        </w:rPr>
        <w:t>.发艺</w:t>
      </w:r>
    </w:p>
    <w:p w14:paraId="65E5DA57">
      <w:pPr>
        <w:pStyle w:val="23"/>
        <w:spacing w:after="0" w:line="600" w:lineRule="exact"/>
        <w:ind w:left="0" w:leftChars="0" w:firstLine="640"/>
        <w:rPr>
          <w:rFonts w:ascii="Times New Roman" w:hAnsi="Times New Roman"/>
          <w:sz w:val="32"/>
          <w:szCs w:val="32"/>
        </w:rPr>
      </w:pPr>
      <w:r>
        <w:rPr>
          <w:rFonts w:hint="eastAsia" w:ascii="仿宋_GB2312" w:hAnsi="仿宋_GB2312" w:eastAsia="仿宋_GB2312" w:cs="仿宋_GB2312"/>
          <w:sz w:val="32"/>
          <w:szCs w:val="32"/>
        </w:rPr>
        <w:t>依托太和发艺文化产业园，优势发展发饰品特色产业，主要生产挡发、辫发、发帘、工艺发条、男女装发套等高档产品，并吸纳美发用品、美发工具设备制作等细分领域，扩大发制品产业规模，形成从人发工艺发条拓展到化纤等仿真假发、从代工模式拓展到自主品牌、从假发领域延伸到其他相关发饰品产业的全面布局。依托康盛发制品、富泰发饰等企业，加快发艺文化品牌创建步伐，引导发艺产</w:t>
      </w:r>
      <w:r>
        <w:rPr>
          <w:rFonts w:hint="eastAsia" w:ascii="Times New Roman" w:hAnsi="Times New Roman" w:eastAsia="仿宋_GB2312" w:cs="仿宋_GB2312"/>
          <w:sz w:val="32"/>
          <w:szCs w:val="32"/>
        </w:rPr>
        <w:t>业集中发展，强化产学研互动，提高发制品企业的创新能力。推进3D打印、物联网、人工智能、虚拟现实为代表的新一代制造技术在发艺制造环节中充分应用，做到制造端的互联网化和智能化。加快马集发艺文化小镇特色专业化园区建设，大力发展研发孵化、品牌销售、发艺体验旅游等高附加值的2.5产业。开发推广发艺文化智能制造模式，建设符合新产业标准的发艺文化智能制造模式，按照C2M模式</w:t>
      </w:r>
      <w:r>
        <w:rPr>
          <w:rFonts w:hint="eastAsia" w:ascii="Times New Roman" w:hAnsi="Times New Roman" w:eastAsia="仿宋_GB2312" w:cs="仿宋_GB2312"/>
          <w:sz w:val="32"/>
          <w:szCs w:val="32"/>
          <w:lang w:val="en-US" w:eastAsia="zh-CN"/>
        </w:rPr>
        <w:t>建设</w:t>
      </w:r>
      <w:r>
        <w:rPr>
          <w:rFonts w:hint="eastAsia" w:ascii="Times New Roman" w:hAnsi="Times New Roman" w:eastAsia="仿宋_GB2312" w:cs="仿宋_GB2312"/>
          <w:sz w:val="32"/>
          <w:szCs w:val="32"/>
        </w:rPr>
        <w:t>发艺文化供给端智能制造平台</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rPr>
        <w:t>到2025年,力争发艺产业实现产值突破</w:t>
      </w:r>
      <w:r>
        <w:rPr>
          <w:rFonts w:hint="eastAsia" w:ascii="Times New Roman" w:hAnsi="Times New Roman" w:eastAsia="仿宋_GB2312" w:cs="仿宋_GB2312"/>
          <w:sz w:val="32"/>
          <w:szCs w:val="32"/>
          <w:lang w:val="en-US" w:eastAsia="zh-CN"/>
        </w:rPr>
        <w:t>1</w:t>
      </w:r>
      <w:r>
        <w:rPr>
          <w:rFonts w:hint="eastAsia" w:ascii="Times New Roman" w:hAnsi="Times New Roman" w:eastAsia="仿宋_GB2312" w:cs="仿宋_GB2312"/>
          <w:sz w:val="32"/>
          <w:szCs w:val="32"/>
        </w:rPr>
        <w:t>00亿元。</w:t>
      </w:r>
    </w:p>
    <w:p w14:paraId="3C6783C5">
      <w:pPr>
        <w:ind w:firstLine="0" w:firstLineChars="0"/>
        <w:outlineLvl w:val="9"/>
        <w:rPr>
          <w:rFonts w:hint="eastAsia"/>
        </w:rPr>
      </w:pPr>
      <w:bookmarkStart w:id="269" w:name="_Toc21024"/>
      <w:bookmarkStart w:id="270" w:name="_Toc3595"/>
      <w:bookmarkStart w:id="271" w:name="_Toc32682"/>
      <w:bookmarkStart w:id="272" w:name="_Toc1971"/>
      <w:bookmarkStart w:id="273" w:name="_Toc289"/>
      <w:bookmarkStart w:id="274" w:name="_Toc16794"/>
      <w:bookmarkStart w:id="275" w:name="_Toc23504"/>
    </w:p>
    <w:p w14:paraId="66C06F18">
      <w:pPr>
        <w:ind w:firstLine="640" w:firstLineChars="200"/>
        <w:outlineLvl w:val="0"/>
        <w:rPr>
          <w:rFonts w:ascii="黑体" w:hAnsi="黑体" w:eastAsia="黑体" w:cs="黑体"/>
          <w:sz w:val="32"/>
          <w:szCs w:val="32"/>
        </w:rPr>
      </w:pPr>
      <w:bookmarkStart w:id="276" w:name="_Toc25843"/>
      <w:bookmarkStart w:id="277" w:name="_Toc9837"/>
      <w:r>
        <w:rPr>
          <w:rFonts w:hint="eastAsia" w:ascii="黑体" w:hAnsi="黑体" w:eastAsia="黑体" w:cs="黑体"/>
          <w:sz w:val="32"/>
          <w:szCs w:val="32"/>
        </w:rPr>
        <w:t>四、空间布局</w:t>
      </w:r>
      <w:bookmarkEnd w:id="252"/>
      <w:bookmarkEnd w:id="253"/>
      <w:bookmarkEnd w:id="254"/>
      <w:bookmarkEnd w:id="255"/>
      <w:bookmarkEnd w:id="269"/>
      <w:bookmarkEnd w:id="270"/>
      <w:bookmarkEnd w:id="271"/>
      <w:bookmarkEnd w:id="272"/>
      <w:bookmarkEnd w:id="273"/>
      <w:bookmarkEnd w:id="274"/>
      <w:bookmarkEnd w:id="275"/>
      <w:bookmarkEnd w:id="276"/>
      <w:bookmarkEnd w:id="277"/>
    </w:p>
    <w:p w14:paraId="431F997A">
      <w:pPr>
        <w:keepNext w:val="0"/>
        <w:keepLines w:val="0"/>
        <w:pageBreakBefore w:val="0"/>
        <w:widowControl/>
        <w:numPr>
          <w:ilvl w:val="255"/>
          <w:numId w:val="0"/>
        </w:numPr>
        <w:kinsoku/>
        <w:wordWrap/>
        <w:overflowPunct/>
        <w:topLinePunct w:val="0"/>
        <w:autoSpaceDE/>
        <w:autoSpaceDN/>
        <w:bidi w:val="0"/>
        <w:adjustRightInd/>
        <w:snapToGrid/>
        <w:spacing w:line="600" w:lineRule="exact"/>
        <w:ind w:firstLine="640" w:firstLineChars="200"/>
        <w:textAlignment w:val="auto"/>
        <w:rPr>
          <w:rStyle w:val="34"/>
          <w:rFonts w:hint="eastAsia" w:hAnsi="仿宋_GB2312" w:cs="仿宋_GB2312"/>
        </w:rPr>
      </w:pPr>
      <w:r>
        <w:rPr>
          <w:rStyle w:val="34"/>
          <w:rFonts w:hint="eastAsia" w:hAnsi="仿宋_GB2312" w:cs="仿宋_GB2312"/>
        </w:rPr>
        <w:t>充分考虑各工业园区、县市区的区位特点、资源禀赋、产业基础、环境容量等因素，着力构建“</w:t>
      </w:r>
      <w:r>
        <w:rPr>
          <w:rFonts w:hint="eastAsia" w:ascii="仿宋_GB2312" w:hAnsi="仿宋_GB2312" w:eastAsia="仿宋_GB2312" w:cs="仿宋_GB2312"/>
          <w:b/>
          <w:kern w:val="0"/>
          <w:sz w:val="32"/>
          <w:szCs w:val="32"/>
        </w:rPr>
        <w:t>一</w:t>
      </w:r>
      <w:r>
        <w:rPr>
          <w:rFonts w:hint="eastAsia" w:ascii="仿宋_GB2312" w:hAnsi="仿宋_GB2312" w:eastAsia="仿宋_GB2312" w:cs="仿宋_GB2312"/>
          <w:b/>
          <w:kern w:val="0"/>
          <w:sz w:val="32"/>
          <w:szCs w:val="32"/>
          <w:lang w:eastAsia="zh-CN"/>
        </w:rPr>
        <w:t>核两翼多点</w:t>
      </w:r>
      <w:r>
        <w:rPr>
          <w:rStyle w:val="34"/>
          <w:rFonts w:hint="eastAsia" w:hAnsi="仿宋_GB2312" w:cs="仿宋_GB2312"/>
        </w:rPr>
        <w:t>”的工业发展空间布局，明确我市发展定位和发展方向，发展壮大</w:t>
      </w:r>
      <w:r>
        <w:rPr>
          <w:rStyle w:val="34"/>
          <w:rFonts w:hint="eastAsia" w:hAnsi="仿宋_GB2312" w:eastAsia="仿宋_GB2312" w:cs="仿宋_GB2312"/>
          <w:lang w:val="en-US" w:eastAsia="zh-CN"/>
        </w:rPr>
        <w:t>新能源和</w:t>
      </w:r>
      <w:r>
        <w:rPr>
          <w:rStyle w:val="34"/>
          <w:rFonts w:hint="eastAsia" w:hAnsi="仿宋_GB2312" w:cs="仿宋_GB2312"/>
        </w:rPr>
        <w:t>节能环保、</w:t>
      </w:r>
      <w:r>
        <w:rPr>
          <w:rStyle w:val="34"/>
          <w:rFonts w:hint="eastAsia" w:hAnsi="仿宋_GB2312" w:eastAsia="仿宋_GB2312" w:cs="仿宋_GB2312"/>
          <w:lang w:val="en-US" w:eastAsia="zh-CN"/>
        </w:rPr>
        <w:t>新材料、</w:t>
      </w:r>
      <w:r>
        <w:rPr>
          <w:rStyle w:val="34"/>
          <w:rFonts w:hint="eastAsia" w:hAnsi="仿宋_GB2312" w:cs="仿宋_GB2312"/>
        </w:rPr>
        <w:t>绿色食品、</w:t>
      </w:r>
      <w:r>
        <w:rPr>
          <w:rStyle w:val="34"/>
          <w:rFonts w:hint="eastAsia" w:hAnsi="仿宋_GB2312" w:eastAsia="仿宋_GB2312" w:cs="仿宋_GB2312"/>
          <w:lang w:val="en-US" w:eastAsia="zh-CN"/>
        </w:rPr>
        <w:t>生命健康</w:t>
      </w:r>
      <w:r>
        <w:rPr>
          <w:rStyle w:val="34"/>
          <w:rFonts w:hint="eastAsia" w:hAnsi="仿宋_GB2312" w:cs="仿宋_GB2312"/>
        </w:rPr>
        <w:t>、装备制造</w:t>
      </w:r>
      <w:r>
        <w:rPr>
          <w:rStyle w:val="34"/>
          <w:rFonts w:hint="eastAsia" w:hAnsi="仿宋_GB2312" w:eastAsia="仿宋_GB2312" w:cs="仿宋_GB2312"/>
          <w:lang w:val="en-US" w:eastAsia="zh-CN"/>
        </w:rPr>
        <w:t>和新能源汽车</w:t>
      </w:r>
      <w:r>
        <w:rPr>
          <w:rStyle w:val="34"/>
          <w:rFonts w:hint="eastAsia" w:hAnsi="仿宋_GB2312" w:cs="仿宋_GB2312"/>
        </w:rPr>
        <w:t>、</w:t>
      </w:r>
      <w:r>
        <w:rPr>
          <w:rStyle w:val="34"/>
          <w:rFonts w:hint="eastAsia" w:hAnsi="仿宋_GB2312" w:eastAsia="仿宋_GB2312" w:cs="仿宋_GB2312"/>
          <w:lang w:val="en-US" w:eastAsia="zh-CN"/>
        </w:rPr>
        <w:t>电子信息及光电显示、</w:t>
      </w:r>
      <w:r>
        <w:rPr>
          <w:rStyle w:val="34"/>
          <w:rFonts w:hint="eastAsia" w:hAnsi="仿宋_GB2312" w:cs="仿宋_GB2312"/>
        </w:rPr>
        <w:t>纺织服装、绿色建筑建材八大产业</w:t>
      </w:r>
      <w:r>
        <w:rPr>
          <w:rStyle w:val="34"/>
          <w:rFonts w:hint="eastAsia" w:hAnsi="仿宋_GB2312" w:eastAsia="仿宋_GB2312" w:cs="仿宋_GB2312"/>
          <w:lang w:eastAsia="zh-CN"/>
        </w:rPr>
        <w:t>以及其他工业</w:t>
      </w:r>
      <w:r>
        <w:rPr>
          <w:rStyle w:val="34"/>
          <w:rFonts w:hint="default" w:hAnsi="仿宋_GB2312" w:eastAsia="仿宋_GB2312" w:cs="仿宋_GB2312"/>
          <w:lang w:val="en-US" w:eastAsia="zh-CN"/>
        </w:rPr>
        <w:t>产</w:t>
      </w:r>
      <w:r>
        <w:rPr>
          <w:rStyle w:val="34"/>
          <w:rFonts w:hint="eastAsia" w:hAnsi="仿宋_GB2312" w:eastAsia="仿宋_GB2312" w:cs="仿宋_GB2312"/>
          <w:lang w:eastAsia="zh-CN"/>
        </w:rPr>
        <w:t>业</w:t>
      </w:r>
      <w:r>
        <w:rPr>
          <w:rStyle w:val="34"/>
          <w:rFonts w:hint="eastAsia" w:hAnsi="仿宋_GB2312" w:cs="仿宋_GB2312"/>
        </w:rPr>
        <w:t>，推动我市工业向集约化集聚化方向发展。</w:t>
      </w:r>
    </w:p>
    <w:p w14:paraId="226FC766">
      <w:pPr>
        <w:keepNext w:val="0"/>
        <w:keepLines w:val="0"/>
        <w:pageBreakBefore w:val="0"/>
        <w:widowControl/>
        <w:numPr>
          <w:ilvl w:val="255"/>
          <w:numId w:val="0"/>
        </w:numPr>
        <w:kinsoku/>
        <w:wordWrap/>
        <w:overflowPunct/>
        <w:topLinePunct w:val="0"/>
        <w:autoSpaceDE/>
        <w:autoSpaceDN/>
        <w:bidi w:val="0"/>
        <w:adjustRightInd/>
        <w:snapToGrid/>
        <w:spacing w:line="600" w:lineRule="exact"/>
        <w:ind w:firstLine="643" w:firstLineChars="200"/>
        <w:textAlignment w:val="auto"/>
        <w:rPr>
          <w:rStyle w:val="34"/>
          <w:rFonts w:hint="eastAsia" w:hAnsi="仿宋_GB2312" w:eastAsia="仿宋_GB2312" w:cs="仿宋_GB2312"/>
          <w:b/>
          <w:bCs/>
          <w:highlight w:val="yellow"/>
          <w:lang w:eastAsia="zh-CN"/>
        </w:rPr>
      </w:pPr>
      <w:r>
        <w:rPr>
          <w:rStyle w:val="34"/>
          <w:rFonts w:hint="eastAsia" w:hAnsi="仿宋_GB2312" w:eastAsia="仿宋_GB2312" w:cs="仿宋_GB2312"/>
          <w:b/>
          <w:bCs/>
          <w:lang w:eastAsia="zh-CN"/>
        </w:rPr>
        <w:t>一核：</w:t>
      </w:r>
      <w:r>
        <w:rPr>
          <w:rStyle w:val="34"/>
          <w:rFonts w:hint="eastAsia" w:hAnsi="仿宋_GB2312" w:eastAsia="仿宋_GB2312" w:cs="仿宋_GB2312"/>
          <w:b w:val="0"/>
          <w:bCs w:val="0"/>
          <w:lang w:eastAsia="zh-CN"/>
        </w:rPr>
        <w:t>即以阜合、经开及三区为主的工业发展城区核。</w:t>
      </w:r>
      <w:r>
        <w:rPr>
          <w:rStyle w:val="34"/>
          <w:rFonts w:hint="eastAsia" w:hAnsi="仿宋_GB2312" w:cs="仿宋_GB2312"/>
        </w:rPr>
        <w:t>发挥中心城区在商贸、金融、科技创新等方面的突出优势，全力提高现代服务业能级，不断增强要素吸附能力、资源聚合能力和辐射带动能力，将中心城区打造成引领和带动阜阳工业高质量发展的重要增长</w:t>
      </w:r>
      <w:r>
        <w:rPr>
          <w:rStyle w:val="34"/>
          <w:rFonts w:hint="eastAsia" w:hAnsi="仿宋_GB2312" w:eastAsia="仿宋_GB2312" w:cs="仿宋_GB2312"/>
          <w:lang w:eastAsia="zh-CN"/>
        </w:rPr>
        <w:t>核。工业发展城区核重点发展装备制造</w:t>
      </w:r>
      <w:r>
        <w:rPr>
          <w:rStyle w:val="34"/>
          <w:rFonts w:hint="eastAsia" w:hAnsi="仿宋_GB2312" w:eastAsia="仿宋_GB2312" w:cs="仿宋_GB2312"/>
          <w:lang w:val="en-US" w:eastAsia="zh-CN"/>
        </w:rPr>
        <w:t>和新能源汽车</w:t>
      </w:r>
      <w:r>
        <w:rPr>
          <w:rStyle w:val="34"/>
          <w:rFonts w:hint="eastAsia" w:hAnsi="仿宋_GB2312" w:eastAsia="仿宋_GB2312" w:cs="仿宋_GB2312"/>
          <w:lang w:eastAsia="zh-CN"/>
        </w:rPr>
        <w:t>、</w:t>
      </w:r>
      <w:r>
        <w:rPr>
          <w:rStyle w:val="34"/>
          <w:rFonts w:hint="eastAsia" w:hAnsi="仿宋_GB2312" w:eastAsia="仿宋_GB2312" w:cs="仿宋_GB2312"/>
          <w:lang w:val="en-US" w:eastAsia="zh-CN"/>
        </w:rPr>
        <w:t>新能源、</w:t>
      </w:r>
      <w:r>
        <w:rPr>
          <w:rStyle w:val="34"/>
          <w:rFonts w:hint="eastAsia" w:hAnsi="仿宋_GB2312" w:eastAsia="仿宋_GB2312" w:cs="仿宋_GB2312"/>
          <w:lang w:eastAsia="zh-CN"/>
        </w:rPr>
        <w:t>新材料、</w:t>
      </w:r>
      <w:r>
        <w:rPr>
          <w:rStyle w:val="34"/>
          <w:rFonts w:hint="eastAsia" w:hAnsi="仿宋_GB2312" w:eastAsia="仿宋_GB2312" w:cs="仿宋_GB2312"/>
          <w:lang w:val="en-US" w:eastAsia="zh-CN"/>
        </w:rPr>
        <w:t>电子信息及光电显示</w:t>
      </w:r>
      <w:r>
        <w:rPr>
          <w:rStyle w:val="34"/>
          <w:rFonts w:hint="eastAsia" w:hAnsi="仿宋_GB2312" w:eastAsia="仿宋_GB2312" w:cs="仿宋_GB2312"/>
          <w:lang w:eastAsia="zh-CN"/>
        </w:rPr>
        <w:t>等产业。</w:t>
      </w:r>
    </w:p>
    <w:p w14:paraId="16E512BF">
      <w:pPr>
        <w:keepNext w:val="0"/>
        <w:keepLines w:val="0"/>
        <w:pageBreakBefore w:val="0"/>
        <w:widowControl/>
        <w:numPr>
          <w:ilvl w:val="255"/>
          <w:numId w:val="0"/>
        </w:numPr>
        <w:kinsoku/>
        <w:wordWrap/>
        <w:overflowPunct/>
        <w:topLinePunct w:val="0"/>
        <w:autoSpaceDE/>
        <w:autoSpaceDN/>
        <w:bidi w:val="0"/>
        <w:adjustRightInd/>
        <w:snapToGrid/>
        <w:spacing w:line="600" w:lineRule="exact"/>
        <w:ind w:firstLine="643" w:firstLineChars="200"/>
        <w:textAlignment w:val="auto"/>
        <w:rPr>
          <w:rStyle w:val="34"/>
          <w:rFonts w:hint="eastAsia" w:hAnsi="仿宋_GB2312" w:eastAsia="仿宋_GB2312" w:cs="仿宋_GB2312"/>
          <w:b/>
          <w:bCs/>
          <w:lang w:eastAsia="zh-CN"/>
        </w:rPr>
      </w:pPr>
      <w:r>
        <w:rPr>
          <w:rStyle w:val="34"/>
          <w:rFonts w:hint="eastAsia" w:hAnsi="仿宋_GB2312" w:eastAsia="仿宋_GB2312" w:cs="仿宋_GB2312"/>
          <w:b/>
          <w:bCs/>
          <w:lang w:eastAsia="zh-CN"/>
        </w:rPr>
        <w:t>两翼：</w:t>
      </w:r>
      <w:r>
        <w:rPr>
          <w:rStyle w:val="34"/>
          <w:rFonts w:hint="eastAsia" w:hAnsi="仿宋_GB2312" w:eastAsia="仿宋_GB2312" w:cs="仿宋_GB2312"/>
          <w:b w:val="0"/>
          <w:bCs w:val="0"/>
          <w:lang w:eastAsia="zh-CN"/>
        </w:rPr>
        <w:t>即以界首、太和为主的制造业高质量发展翼；以临泉、阜南、颍上为主的传统产业转型升级示范翼。制造业高质量发展翼重点发展</w:t>
      </w:r>
      <w:r>
        <w:rPr>
          <w:rStyle w:val="34"/>
          <w:rFonts w:hint="eastAsia" w:hAnsi="仿宋_GB2312" w:eastAsia="仿宋_GB2312" w:cs="仿宋_GB2312"/>
          <w:b w:val="0"/>
          <w:bCs w:val="0"/>
          <w:lang w:val="en-US" w:eastAsia="zh-CN"/>
        </w:rPr>
        <w:t>新能源和</w:t>
      </w:r>
      <w:r>
        <w:rPr>
          <w:rStyle w:val="34"/>
          <w:rFonts w:hint="eastAsia" w:hAnsi="仿宋_GB2312" w:eastAsia="仿宋_GB2312" w:cs="仿宋_GB2312"/>
          <w:b w:val="0"/>
          <w:bCs w:val="0"/>
          <w:lang w:eastAsia="zh-CN"/>
        </w:rPr>
        <w:t>节能环保、</w:t>
      </w:r>
      <w:r>
        <w:rPr>
          <w:rStyle w:val="34"/>
          <w:rFonts w:hint="eastAsia" w:hAnsi="仿宋_GB2312" w:eastAsia="仿宋_GB2312" w:cs="仿宋_GB2312"/>
          <w:b w:val="0"/>
          <w:bCs w:val="0"/>
          <w:lang w:val="en-US" w:eastAsia="zh-CN"/>
        </w:rPr>
        <w:t>生命健康</w:t>
      </w:r>
      <w:r>
        <w:rPr>
          <w:rStyle w:val="34"/>
          <w:rFonts w:hint="eastAsia" w:hAnsi="仿宋_GB2312" w:eastAsia="仿宋_GB2312" w:cs="仿宋_GB2312"/>
          <w:b w:val="0"/>
          <w:bCs w:val="0"/>
          <w:lang w:eastAsia="zh-CN"/>
        </w:rPr>
        <w:t>、装备制造</w:t>
      </w:r>
      <w:r>
        <w:rPr>
          <w:rStyle w:val="34"/>
          <w:rFonts w:hint="eastAsia" w:hAnsi="仿宋_GB2312" w:eastAsia="仿宋_GB2312" w:cs="仿宋_GB2312"/>
          <w:lang w:val="en-US" w:eastAsia="zh-CN"/>
        </w:rPr>
        <w:t>和新能源汽车</w:t>
      </w:r>
      <w:r>
        <w:rPr>
          <w:rStyle w:val="34"/>
          <w:rFonts w:hint="eastAsia" w:hAnsi="仿宋_GB2312" w:eastAsia="仿宋_GB2312" w:cs="仿宋_GB2312"/>
          <w:b w:val="0"/>
          <w:bCs w:val="0"/>
          <w:lang w:eastAsia="zh-CN"/>
        </w:rPr>
        <w:t>等产业。传统产业转型升级示范翼重点发展绿色食品、</w:t>
      </w:r>
      <w:r>
        <w:rPr>
          <w:rStyle w:val="34"/>
          <w:rFonts w:hint="eastAsia" w:hAnsi="仿宋_GB2312" w:eastAsia="仿宋_GB2312" w:cs="仿宋_GB2312"/>
          <w:b w:val="0"/>
          <w:bCs w:val="0"/>
          <w:lang w:val="en-US" w:eastAsia="zh-CN"/>
        </w:rPr>
        <w:t>新材料</w:t>
      </w:r>
      <w:r>
        <w:rPr>
          <w:rStyle w:val="34"/>
          <w:rFonts w:hint="eastAsia" w:hAnsi="仿宋_GB2312" w:eastAsia="仿宋_GB2312" w:cs="仿宋_GB2312"/>
          <w:b w:val="0"/>
          <w:bCs w:val="0"/>
          <w:lang w:eastAsia="zh-CN"/>
        </w:rPr>
        <w:t>、纺织服装、柳木加工等产业。</w:t>
      </w:r>
    </w:p>
    <w:p w14:paraId="30F21150">
      <w:pPr>
        <w:keepNext w:val="0"/>
        <w:keepLines w:val="0"/>
        <w:pageBreakBefore w:val="0"/>
        <w:widowControl w:val="0"/>
        <w:numPr>
          <w:ilvl w:val="255"/>
          <w:numId w:val="0"/>
        </w:numPr>
        <w:kinsoku/>
        <w:wordWrap/>
        <w:overflowPunct/>
        <w:topLinePunct w:val="0"/>
        <w:autoSpaceDE/>
        <w:autoSpaceDN/>
        <w:bidi w:val="0"/>
        <w:adjustRightInd/>
        <w:snapToGrid/>
        <w:spacing w:line="600" w:lineRule="exact"/>
        <w:ind w:firstLine="643" w:firstLineChars="200"/>
        <w:textAlignment w:val="auto"/>
        <w:rPr>
          <w:rStyle w:val="34"/>
          <w:rFonts w:hint="eastAsia" w:hAnsi="仿宋_GB2312" w:cs="仿宋_GB2312"/>
        </w:rPr>
      </w:pPr>
      <w:r>
        <w:rPr>
          <w:rStyle w:val="34"/>
          <w:rFonts w:hint="eastAsia" w:hAnsi="仿宋_GB2312" w:eastAsia="仿宋_GB2312" w:cs="仿宋_GB2312"/>
          <w:b/>
          <w:bCs/>
          <w:lang w:eastAsia="zh-CN"/>
        </w:rPr>
        <w:t>多点：</w:t>
      </w:r>
      <w:r>
        <w:rPr>
          <w:rStyle w:val="34"/>
          <w:rFonts w:hint="eastAsia" w:hAnsi="仿宋_GB2312" w:eastAsia="仿宋_GB2312" w:cs="仿宋_GB2312"/>
          <w:b w:val="0"/>
          <w:bCs w:val="0"/>
          <w:lang w:eastAsia="zh-CN"/>
        </w:rPr>
        <w:t>即以各开发区作为工业发展重要节点。</w:t>
      </w:r>
      <w:r>
        <w:rPr>
          <w:rStyle w:val="34"/>
          <w:rFonts w:hint="eastAsia" w:hAnsi="仿宋_GB2312" w:cs="仿宋_GB2312"/>
        </w:rPr>
        <w:t>围绕现有基础，发挥各自优势，集中力量打造各具特色的产业集群，不断提高</w:t>
      </w:r>
      <w:r>
        <w:rPr>
          <w:rStyle w:val="34"/>
          <w:rFonts w:hint="eastAsia" w:hAnsi="仿宋_GB2312" w:eastAsia="仿宋_GB2312" w:cs="仿宋_GB2312"/>
          <w:lang w:eastAsia="zh-CN"/>
        </w:rPr>
        <w:t>开发区内以及各开发区间</w:t>
      </w:r>
      <w:r>
        <w:rPr>
          <w:rStyle w:val="34"/>
          <w:rFonts w:hint="eastAsia" w:hAnsi="仿宋_GB2312" w:cs="仿宋_GB2312"/>
        </w:rPr>
        <w:t>协作配套能力，促进全市工业形成集群发展态势，形成布局合理、带动性强、辐射力大、优势互补的产业发展格局。</w:t>
      </w:r>
    </w:p>
    <w:p w14:paraId="34B26046">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Style w:val="34"/>
          <w:rFonts w:hint="default" w:hAnsi="Times New Roma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36DDF2E7">
      <w:pPr>
        <w:jc w:val="center"/>
        <w:rPr>
          <w:rFonts w:hint="eastAsia" w:ascii="楷体" w:hAnsi="楷体" w:eastAsia="楷体" w:cs="楷体"/>
          <w:b/>
          <w:kern w:val="0"/>
          <w:sz w:val="32"/>
          <w:szCs w:val="32"/>
          <w:lang w:eastAsia="zh-CN"/>
        </w:rPr>
      </w:pPr>
      <w:r>
        <w:rPr>
          <w:rFonts w:hint="eastAsia" w:ascii="楷体" w:hAnsi="楷体" w:eastAsia="楷体" w:cs="楷体"/>
          <w:b/>
          <w:kern w:val="0"/>
          <w:sz w:val="32"/>
          <w:szCs w:val="32"/>
          <w:lang w:eastAsia="zh-CN"/>
        </w:rPr>
        <w:drawing>
          <wp:inline distT="0" distB="0" distL="114300" distR="114300">
            <wp:extent cx="8686165" cy="4886325"/>
            <wp:effectExtent l="0" t="0" r="635" b="9525"/>
            <wp:docPr id="14" name="图片 14" descr="0809工业空间布局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0809工业空间布局1"/>
                    <pic:cNvPicPr>
                      <a:picLocks noChangeAspect="1"/>
                    </pic:cNvPicPr>
                  </pic:nvPicPr>
                  <pic:blipFill>
                    <a:blip r:embed="rId16"/>
                    <a:stretch>
                      <a:fillRect/>
                    </a:stretch>
                  </pic:blipFill>
                  <pic:spPr>
                    <a:xfrm>
                      <a:off x="0" y="0"/>
                      <a:ext cx="8686165" cy="4886325"/>
                    </a:xfrm>
                    <a:prstGeom prst="rect">
                      <a:avLst/>
                    </a:prstGeom>
                  </pic:spPr>
                </pic:pic>
              </a:graphicData>
            </a:graphic>
          </wp:inline>
        </w:drawing>
      </w:r>
    </w:p>
    <w:p w14:paraId="2ACB7922">
      <w:pPr>
        <w:jc w:val="center"/>
        <w:rPr>
          <w:rFonts w:hint="eastAsia" w:ascii="楷体" w:hAnsi="楷体" w:eastAsia="仿宋_GB2312" w:cs="楷体"/>
          <w:b/>
          <w:kern w:val="0"/>
          <w:sz w:val="32"/>
          <w:szCs w:val="32"/>
          <w:lang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仿宋_GB2312" w:hAnsi="仿宋_GB2312" w:eastAsia="仿宋_GB2312" w:cs="仿宋_GB2312"/>
          <w:b/>
          <w:sz w:val="24"/>
        </w:rPr>
        <w:t>图4-1  阜阳工业发展总体布局</w:t>
      </w:r>
      <w:r>
        <w:rPr>
          <w:rFonts w:hint="eastAsia" w:ascii="仿宋_GB2312" w:hAnsi="仿宋_GB2312" w:eastAsia="仿宋_GB2312" w:cs="仿宋_GB2312"/>
          <w:b/>
          <w:sz w:val="24"/>
          <w:lang w:eastAsia="zh-CN"/>
        </w:rPr>
        <w:t>图</w:t>
      </w:r>
    </w:p>
    <w:p w14:paraId="6D656B40">
      <w:pPr>
        <w:jc w:val="center"/>
        <w:rPr>
          <w:rFonts w:hint="eastAsia" w:ascii="楷体" w:hAnsi="楷体" w:eastAsia="楷体" w:cs="楷体"/>
          <w:b/>
          <w:kern w:val="0"/>
          <w:sz w:val="32"/>
          <w:szCs w:val="32"/>
          <w:lang w:eastAsia="zh-CN"/>
        </w:rPr>
      </w:pPr>
      <w:r>
        <w:rPr>
          <w:rFonts w:hint="eastAsia" w:ascii="楷体" w:hAnsi="楷体" w:eastAsia="楷体" w:cs="楷体"/>
          <w:b/>
          <w:kern w:val="0"/>
          <w:sz w:val="32"/>
          <w:szCs w:val="32"/>
          <w:lang w:eastAsia="zh-CN"/>
        </w:rPr>
        <w:drawing>
          <wp:inline distT="0" distB="0" distL="114300" distR="114300">
            <wp:extent cx="8613775" cy="4845685"/>
            <wp:effectExtent l="0" t="0" r="15875" b="12065"/>
            <wp:docPr id="5" name="图片 5" descr="0407布局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0407布局_01"/>
                    <pic:cNvPicPr>
                      <a:picLocks noChangeAspect="1"/>
                    </pic:cNvPicPr>
                  </pic:nvPicPr>
                  <pic:blipFill>
                    <a:blip r:embed="rId17"/>
                    <a:stretch>
                      <a:fillRect/>
                    </a:stretch>
                  </pic:blipFill>
                  <pic:spPr>
                    <a:xfrm>
                      <a:off x="0" y="0"/>
                      <a:ext cx="8613775" cy="4845685"/>
                    </a:xfrm>
                    <a:prstGeom prst="rect">
                      <a:avLst/>
                    </a:prstGeom>
                  </pic:spPr>
                </pic:pic>
              </a:graphicData>
            </a:graphic>
          </wp:inline>
        </w:drawing>
      </w:r>
    </w:p>
    <w:p w14:paraId="333B20B7">
      <w:pPr>
        <w:spacing w:line="240" w:lineRule="auto"/>
        <w:ind w:firstLine="0" w:firstLineChars="0"/>
        <w:jc w:val="center"/>
        <w:rPr>
          <w:rFonts w:ascii="仿宋_GB2312" w:hAnsi="仿宋_GB2312" w:eastAsia="仿宋_GB2312" w:cs="仿宋_GB2312"/>
          <w:b/>
          <w:sz w:val="24"/>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仿宋_GB2312" w:hAnsi="仿宋_GB2312" w:eastAsia="仿宋_GB2312" w:cs="仿宋_GB2312"/>
          <w:b/>
          <w:sz w:val="24"/>
        </w:rPr>
        <w:t>图4-</w:t>
      </w:r>
      <w:r>
        <w:rPr>
          <w:rFonts w:hint="eastAsia" w:ascii="仿宋_GB2312" w:hAnsi="仿宋_GB2312" w:cs="仿宋_GB2312"/>
          <w:b/>
          <w:sz w:val="24"/>
          <w:lang w:val="en-US" w:eastAsia="zh-CN"/>
        </w:rPr>
        <w:t>2</w:t>
      </w:r>
      <w:r>
        <w:rPr>
          <w:rFonts w:hint="eastAsia" w:ascii="仿宋_GB2312" w:hAnsi="仿宋_GB2312" w:eastAsia="仿宋_GB2312" w:cs="仿宋_GB2312"/>
          <w:b/>
          <w:sz w:val="24"/>
        </w:rPr>
        <w:t xml:space="preserve">  阜阳工业发展</w:t>
      </w:r>
      <w:r>
        <w:rPr>
          <w:rFonts w:hint="eastAsia" w:ascii="仿宋_GB2312" w:hAnsi="仿宋_GB2312" w:eastAsia="仿宋_GB2312" w:cs="仿宋_GB2312"/>
          <w:b/>
          <w:sz w:val="24"/>
          <w:lang w:eastAsia="zh-CN"/>
        </w:rPr>
        <w:t>产业空间</w:t>
      </w:r>
      <w:r>
        <w:rPr>
          <w:rFonts w:hint="eastAsia" w:ascii="仿宋_GB2312" w:hAnsi="仿宋_GB2312" w:eastAsia="仿宋_GB2312" w:cs="仿宋_GB2312"/>
          <w:b/>
          <w:sz w:val="24"/>
        </w:rPr>
        <w:t>布局图</w:t>
      </w:r>
    </w:p>
    <w:p w14:paraId="633641FB">
      <w:pPr>
        <w:ind w:firstLine="640" w:firstLineChars="200"/>
        <w:outlineLvl w:val="0"/>
        <w:rPr>
          <w:rFonts w:ascii="黑体" w:hAnsi="黑体" w:eastAsia="黑体" w:cs="黑体"/>
          <w:sz w:val="32"/>
          <w:szCs w:val="32"/>
        </w:rPr>
      </w:pPr>
      <w:bookmarkStart w:id="278" w:name="_Toc25520"/>
      <w:bookmarkStart w:id="279" w:name="_Toc24426"/>
      <w:bookmarkStart w:id="280" w:name="_Toc5907"/>
      <w:bookmarkStart w:id="281" w:name="_Toc31633"/>
      <w:bookmarkStart w:id="282" w:name="_Toc5727"/>
      <w:bookmarkStart w:id="283" w:name="_Toc27712"/>
      <w:bookmarkStart w:id="284" w:name="_Toc17549"/>
      <w:bookmarkStart w:id="285" w:name="_Toc3550"/>
      <w:bookmarkStart w:id="286" w:name="_Toc32384"/>
      <w:bookmarkStart w:id="287" w:name="_Toc25333"/>
      <w:bookmarkStart w:id="288" w:name="_Toc8178"/>
      <w:bookmarkStart w:id="289" w:name="_Toc12872"/>
      <w:bookmarkStart w:id="290" w:name="_Toc29554"/>
      <w:r>
        <w:rPr>
          <w:rFonts w:hint="eastAsia" w:ascii="黑体" w:hAnsi="黑体" w:eastAsia="黑体" w:cs="黑体"/>
          <w:sz w:val="32"/>
          <w:szCs w:val="32"/>
        </w:rPr>
        <w:t>五、工业发展重点</w:t>
      </w:r>
      <w:bookmarkEnd w:id="278"/>
      <w:bookmarkEnd w:id="279"/>
      <w:bookmarkEnd w:id="280"/>
      <w:r>
        <w:rPr>
          <w:rFonts w:hint="eastAsia" w:ascii="黑体" w:hAnsi="黑体" w:eastAsia="黑体" w:cs="黑体"/>
          <w:sz w:val="32"/>
          <w:szCs w:val="32"/>
        </w:rPr>
        <w:t>任务</w:t>
      </w:r>
      <w:bookmarkEnd w:id="281"/>
      <w:bookmarkEnd w:id="282"/>
      <w:bookmarkEnd w:id="283"/>
      <w:bookmarkEnd w:id="284"/>
      <w:bookmarkEnd w:id="285"/>
      <w:bookmarkEnd w:id="286"/>
      <w:bookmarkEnd w:id="287"/>
      <w:bookmarkEnd w:id="288"/>
      <w:bookmarkEnd w:id="289"/>
      <w:bookmarkEnd w:id="290"/>
    </w:p>
    <w:p w14:paraId="537429EA">
      <w:pPr>
        <w:ind w:firstLine="643" w:firstLineChars="200"/>
        <w:outlineLvl w:val="1"/>
        <w:rPr>
          <w:rFonts w:ascii="楷体_GB2312" w:hAnsi="楷体_GB2312" w:eastAsia="楷体_GB2312" w:cs="楷体_GB2312"/>
          <w:b/>
          <w:bCs/>
          <w:sz w:val="32"/>
          <w:szCs w:val="32"/>
        </w:rPr>
      </w:pPr>
      <w:bookmarkStart w:id="291" w:name="_Toc19620"/>
      <w:bookmarkStart w:id="292" w:name="_Toc399"/>
      <w:bookmarkStart w:id="293" w:name="_Toc26810"/>
      <w:bookmarkStart w:id="294" w:name="_Toc22831"/>
      <w:bookmarkStart w:id="295" w:name="_Toc25578"/>
      <w:bookmarkStart w:id="296" w:name="_Toc25911"/>
      <w:bookmarkStart w:id="297" w:name="_Toc10529"/>
      <w:bookmarkStart w:id="298" w:name="_Toc26002"/>
      <w:bookmarkStart w:id="299" w:name="_Toc15624"/>
      <w:bookmarkStart w:id="300" w:name="_Toc9448"/>
      <w:bookmarkStart w:id="301" w:name="_Toc3147"/>
      <w:bookmarkStart w:id="302" w:name="_Toc1741"/>
      <w:bookmarkStart w:id="303" w:name="_Toc28651"/>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一</w:t>
      </w:r>
      <w:r>
        <w:rPr>
          <w:rFonts w:hint="eastAsia" w:ascii="楷体_GB2312" w:hAnsi="楷体_GB2312" w:eastAsia="楷体_GB2312" w:cs="楷体_GB2312"/>
          <w:b/>
          <w:bCs/>
          <w:sz w:val="32"/>
          <w:szCs w:val="32"/>
        </w:rPr>
        <w:t>）</w:t>
      </w:r>
      <w:bookmarkEnd w:id="291"/>
      <w:bookmarkEnd w:id="292"/>
      <w:bookmarkEnd w:id="293"/>
      <w:r>
        <w:rPr>
          <w:rFonts w:hint="eastAsia" w:ascii="楷体_GB2312" w:hAnsi="楷体_GB2312" w:eastAsia="楷体_GB2312" w:cs="楷体_GB2312"/>
          <w:b/>
          <w:bCs/>
          <w:sz w:val="32"/>
          <w:szCs w:val="32"/>
          <w:lang w:val="en-US" w:eastAsia="zh-CN"/>
        </w:rPr>
        <w:t>创新能力提升</w:t>
      </w:r>
      <w:r>
        <w:rPr>
          <w:rFonts w:hint="eastAsia" w:ascii="楷体_GB2312" w:hAnsi="楷体_GB2312" w:eastAsia="楷体_GB2312" w:cs="楷体_GB2312"/>
          <w:b/>
          <w:bCs/>
          <w:sz w:val="32"/>
          <w:szCs w:val="32"/>
        </w:rPr>
        <w:t>工程</w:t>
      </w:r>
      <w:bookmarkEnd w:id="294"/>
      <w:bookmarkEnd w:id="295"/>
      <w:bookmarkEnd w:id="296"/>
      <w:bookmarkEnd w:id="297"/>
      <w:bookmarkEnd w:id="298"/>
      <w:bookmarkEnd w:id="299"/>
      <w:bookmarkEnd w:id="300"/>
      <w:bookmarkEnd w:id="301"/>
      <w:bookmarkEnd w:id="302"/>
      <w:bookmarkEnd w:id="303"/>
    </w:p>
    <w:p w14:paraId="34242FDD">
      <w:pPr>
        <w:pStyle w:val="23"/>
        <w:spacing w:after="0" w:line="600" w:lineRule="exact"/>
        <w:ind w:left="0" w:leftChars="0" w:firstLine="64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en-US" w:eastAsia="zh-CN"/>
        </w:rPr>
        <w:t>坚持创新核心地位</w:t>
      </w:r>
      <w:r>
        <w:rPr>
          <w:rFonts w:hint="eastAsia" w:ascii="仿宋_GB2312" w:hAnsi="仿宋_GB2312" w:eastAsia="仿宋_GB2312" w:cs="仿宋_GB2312"/>
          <w:sz w:val="32"/>
          <w:szCs w:val="32"/>
          <w:lang w:val="zh-CN"/>
        </w:rPr>
        <w:t>，</w:t>
      </w:r>
      <w:r>
        <w:rPr>
          <w:rFonts w:hint="eastAsia" w:ascii="仿宋_GB2312" w:hAnsi="仿宋_GB2312" w:eastAsia="仿宋_GB2312" w:cs="仿宋_GB2312"/>
          <w:sz w:val="32"/>
          <w:szCs w:val="32"/>
          <w:lang w:val="en-US" w:eastAsia="zh-CN"/>
        </w:rPr>
        <w:t>主动融入省“五个一”创新主平台，</w:t>
      </w:r>
      <w:r>
        <w:rPr>
          <w:rFonts w:hint="eastAsia" w:ascii="仿宋_GB2312" w:hAnsi="仿宋_GB2312" w:eastAsia="仿宋_GB2312" w:cs="仿宋_GB2312"/>
          <w:sz w:val="32"/>
          <w:szCs w:val="32"/>
          <w:lang w:val="zh-CN"/>
        </w:rPr>
        <w:t>加强与长三角创新要素、创新资源对接，</w:t>
      </w:r>
      <w:r>
        <w:rPr>
          <w:rFonts w:hint="eastAsia" w:ascii="仿宋_GB2312" w:hAnsi="仿宋_GB2312" w:eastAsia="仿宋_GB2312" w:cs="仿宋_GB2312"/>
          <w:sz w:val="32"/>
          <w:szCs w:val="32"/>
          <w:lang w:val="en-US" w:eastAsia="zh-CN"/>
        </w:rPr>
        <w:t>大力推进</w:t>
      </w:r>
      <w:r>
        <w:rPr>
          <w:rFonts w:hint="eastAsia" w:ascii="仿宋_GB2312" w:hAnsi="仿宋_GB2312" w:eastAsia="仿宋_GB2312" w:cs="仿宋_GB2312"/>
          <w:sz w:val="32"/>
          <w:szCs w:val="32"/>
          <w:lang w:val="zh-CN"/>
        </w:rPr>
        <w:t>院所、平台、成果和人才引进，完善企业主体、市场导向、</w:t>
      </w:r>
      <w:r>
        <w:rPr>
          <w:rFonts w:hint="eastAsia" w:ascii="仿宋_GB2312" w:hAnsi="仿宋_GB2312" w:eastAsia="仿宋_GB2312" w:cs="仿宋_GB2312"/>
          <w:sz w:val="32"/>
          <w:szCs w:val="32"/>
        </w:rPr>
        <w:t>人才支撑、</w:t>
      </w:r>
      <w:r>
        <w:rPr>
          <w:rFonts w:hint="eastAsia" w:ascii="仿宋_GB2312" w:hAnsi="仿宋_GB2312" w:eastAsia="仿宋_GB2312" w:cs="仿宋_GB2312"/>
          <w:sz w:val="32"/>
          <w:szCs w:val="32"/>
          <w:lang w:val="zh-CN"/>
        </w:rPr>
        <w:t>政产学研用</w:t>
      </w:r>
      <w:r>
        <w:rPr>
          <w:rFonts w:hint="eastAsia" w:ascii="仿宋_GB2312" w:hAnsi="仿宋_GB2312" w:eastAsia="仿宋_GB2312" w:cs="仿宋_GB2312"/>
          <w:sz w:val="32"/>
          <w:szCs w:val="32"/>
        </w:rPr>
        <w:t>金</w:t>
      </w:r>
      <w:r>
        <w:rPr>
          <w:rFonts w:hint="eastAsia" w:ascii="仿宋_GB2312" w:hAnsi="仿宋_GB2312" w:eastAsia="仿宋_GB2312" w:cs="仿宋_GB2312"/>
          <w:sz w:val="32"/>
          <w:szCs w:val="32"/>
          <w:lang w:val="zh-CN"/>
        </w:rPr>
        <w:t>相结合的工业创新体系，着力打造全省具有重要影响力的科技成果转化聚集地。</w:t>
      </w:r>
    </w:p>
    <w:p w14:paraId="0ACD5F4A">
      <w:pPr>
        <w:spacing w:line="600" w:lineRule="exact"/>
        <w:ind w:firstLine="643" w:firstLineChars="200"/>
        <w:outlineLvl w:val="2"/>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1.突破工业关键技术、共性技术和前沿技术</w:t>
      </w:r>
    </w:p>
    <w:p w14:paraId="0B6B03FA">
      <w:pPr>
        <w:pStyle w:val="23"/>
        <w:spacing w:after="0" w:line="600" w:lineRule="exact"/>
        <w:ind w:left="0" w:leftChars="0" w:firstLine="64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大力实施产业关键技术攻坚行动，</w:t>
      </w:r>
      <w:r>
        <w:rPr>
          <w:rFonts w:hint="eastAsia" w:ascii="仿宋_GB2312" w:hAnsi="仿宋_GB2312" w:eastAsia="仿宋_GB2312" w:cs="仿宋_GB2312"/>
          <w:sz w:val="32"/>
          <w:szCs w:val="32"/>
          <w:lang w:val="zh-CN"/>
        </w:rPr>
        <w:t>聚焦</w:t>
      </w:r>
      <w:r>
        <w:rPr>
          <w:rFonts w:hint="eastAsia" w:ascii="仿宋_GB2312" w:hAnsi="仿宋_GB2312" w:eastAsia="仿宋_GB2312" w:cs="仿宋_GB2312"/>
          <w:sz w:val="32"/>
          <w:szCs w:val="32"/>
        </w:rPr>
        <w:t>重点工业</w:t>
      </w:r>
      <w:r>
        <w:rPr>
          <w:rFonts w:hint="eastAsia" w:ascii="仿宋_GB2312" w:hAnsi="仿宋_GB2312" w:eastAsia="仿宋_GB2312" w:cs="仿宋_GB2312"/>
          <w:sz w:val="32"/>
          <w:szCs w:val="32"/>
          <w:lang w:val="en-US" w:eastAsia="zh-CN"/>
        </w:rPr>
        <w:t>领域</w:t>
      </w:r>
      <w:r>
        <w:rPr>
          <w:rFonts w:hint="eastAsia" w:ascii="仿宋_GB2312" w:hAnsi="仿宋_GB2312" w:eastAsia="仿宋_GB2312" w:cs="仿宋_GB2312"/>
          <w:sz w:val="32"/>
          <w:szCs w:val="32"/>
          <w:lang w:val="zh-CN"/>
        </w:rPr>
        <w:t>，迭代完善科技攻关清单，</w:t>
      </w:r>
      <w:r>
        <w:rPr>
          <w:rFonts w:hint="eastAsia" w:ascii="Times New Roman" w:hAnsi="Times New Roman" w:eastAsia="仿宋_GB2312"/>
          <w:color w:val="000000"/>
          <w:sz w:val="32"/>
          <w:szCs w:val="32"/>
          <w:lang w:val="en-US" w:eastAsia="zh-CN"/>
        </w:rPr>
        <w:t>探索实行</w:t>
      </w:r>
      <w:r>
        <w:rPr>
          <w:rFonts w:hint="eastAsia" w:ascii="Times New Roman" w:hAnsi="Times New Roman" w:eastAsia="仿宋_GB2312"/>
          <w:color w:val="000000"/>
          <w:sz w:val="32"/>
          <w:szCs w:val="32"/>
        </w:rPr>
        <w:t>“揭榜挂帅”“竞争赛马”等科技攻关机制</w:t>
      </w:r>
      <w:r>
        <w:rPr>
          <w:rFonts w:hint="eastAsia" w:ascii="Times New Roman" w:hAnsi="Times New Roman" w:eastAsia="仿宋_GB2312"/>
          <w:color w:val="000000"/>
          <w:sz w:val="32"/>
          <w:szCs w:val="32"/>
          <w:lang w:eastAsia="zh-CN"/>
        </w:rPr>
        <w:t>，</w:t>
      </w:r>
      <w:r>
        <w:rPr>
          <w:rFonts w:hint="eastAsia" w:ascii="Times New Roman" w:hAnsi="Times New Roman" w:eastAsia="仿宋_GB2312"/>
          <w:color w:val="000000"/>
          <w:sz w:val="32"/>
          <w:szCs w:val="32"/>
          <w:lang w:val="en-US" w:eastAsia="zh-CN"/>
        </w:rPr>
        <w:t>有效破解重点产业技术瓶颈制约</w:t>
      </w:r>
      <w:r>
        <w:rPr>
          <w:rFonts w:ascii="Times New Roman" w:hAnsi="Times New Roman" w:eastAsia="仿宋_GB2312"/>
          <w:color w:val="000000"/>
          <w:sz w:val="32"/>
          <w:szCs w:val="32"/>
        </w:rPr>
        <w:t>，加快制造业创新能力整体跃升</w:t>
      </w:r>
      <w:r>
        <w:rPr>
          <w:rFonts w:hint="eastAsia" w:ascii="仿宋_GB2312" w:hAnsi="仿宋_GB2312" w:eastAsia="仿宋_GB2312" w:cs="仿宋_GB2312"/>
          <w:sz w:val="32"/>
          <w:szCs w:val="32"/>
          <w:lang w:val="zh-CN"/>
        </w:rPr>
        <w:t>。围绕</w:t>
      </w:r>
      <w:r>
        <w:rPr>
          <w:rFonts w:hint="eastAsia" w:ascii="仿宋_GB2312" w:hAnsi="仿宋_GB2312" w:eastAsia="仿宋_GB2312" w:cs="仿宋_GB2312"/>
          <w:sz w:val="32"/>
          <w:szCs w:val="32"/>
        </w:rPr>
        <w:t>重点</w:t>
      </w:r>
      <w:r>
        <w:rPr>
          <w:rFonts w:hint="eastAsia" w:ascii="仿宋_GB2312" w:hAnsi="仿宋_GB2312" w:eastAsia="仿宋_GB2312" w:cs="仿宋_GB2312"/>
          <w:sz w:val="32"/>
          <w:szCs w:val="32"/>
          <w:lang w:val="zh-CN"/>
        </w:rPr>
        <w:t>产业，靶向招引一批产业链上高层次人才，引导在</w:t>
      </w:r>
      <w:r>
        <w:rPr>
          <w:rFonts w:hint="eastAsia" w:ascii="仿宋_GB2312" w:hAnsi="仿宋_GB2312" w:eastAsia="仿宋_GB2312" w:cs="仿宋_GB2312"/>
          <w:sz w:val="32"/>
          <w:szCs w:val="32"/>
        </w:rPr>
        <w:t>阜</w:t>
      </w:r>
      <w:r>
        <w:rPr>
          <w:rFonts w:hint="eastAsia" w:ascii="仿宋_GB2312" w:hAnsi="仿宋_GB2312" w:eastAsia="仿宋_GB2312" w:cs="仿宋_GB2312"/>
          <w:sz w:val="32"/>
          <w:szCs w:val="32"/>
          <w:lang w:val="zh-CN"/>
        </w:rPr>
        <w:t>高校、科研院所、企业开展关键技术、共性技术和前沿技术攻关，并在行业内进行辐射推广。实施工业强基工程，发挥行业骨干企业的主导作用和高等院校、科研院所的基础作用，建立一批产业创新联盟，开展“政产学研用</w:t>
      </w:r>
      <w:r>
        <w:rPr>
          <w:rFonts w:hint="eastAsia" w:ascii="仿宋_GB2312" w:hAnsi="仿宋_GB2312" w:eastAsia="仿宋_GB2312" w:cs="仿宋_GB2312"/>
          <w:sz w:val="32"/>
          <w:szCs w:val="32"/>
          <w:lang w:val="en-US" w:eastAsia="zh-CN"/>
        </w:rPr>
        <w:t>金</w:t>
      </w:r>
      <w:r>
        <w:rPr>
          <w:rFonts w:hint="eastAsia" w:ascii="仿宋_GB2312" w:hAnsi="仿宋_GB2312" w:eastAsia="仿宋_GB2312" w:cs="仿宋_GB2312"/>
          <w:sz w:val="32"/>
          <w:szCs w:val="32"/>
          <w:lang w:val="zh-CN"/>
        </w:rPr>
        <w:t>”协同创新。加大市级财政首台套配套奖励和补助资金力度，拓展多元化应用场景，优化装备首台套、材料首批次、软件首版次等创新产品大规模应用生态。</w:t>
      </w:r>
    </w:p>
    <w:p w14:paraId="7E3A7410">
      <w:pPr>
        <w:spacing w:line="600" w:lineRule="exact"/>
        <w:ind w:firstLine="643" w:firstLineChars="200"/>
        <w:outlineLvl w:val="2"/>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2.构建高能级工业创新平台</w:t>
      </w:r>
    </w:p>
    <w:p w14:paraId="2D936B1F">
      <w:pPr>
        <w:pStyle w:val="23"/>
        <w:spacing w:after="0" w:line="600" w:lineRule="exact"/>
        <w:ind w:left="0" w:leftChars="0"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强化企业创新主体地位，鼓励企业加快建立企业技术中心、工程技术中心等创新平台。加快推进制造业创新中心建设，充分发挥“皮革新材料”“铅蓄电池再制造”“铝基新材料”等省制造业创新中心工业赋能作用，高质量建设省级创新中心。围绕</w:t>
      </w:r>
      <w:r>
        <w:rPr>
          <w:rFonts w:hint="eastAsia" w:ascii="仿宋_GB2312" w:hAnsi="仿宋_GB2312" w:eastAsia="仿宋_GB2312" w:cs="仿宋_GB2312"/>
          <w:sz w:val="32"/>
          <w:szCs w:val="32"/>
          <w:lang w:val="en-US" w:eastAsia="zh-CN"/>
        </w:rPr>
        <w:t>市特色</w:t>
      </w:r>
      <w:r>
        <w:rPr>
          <w:rFonts w:hint="eastAsia" w:ascii="仿宋_GB2312" w:hAnsi="仿宋_GB2312" w:eastAsia="仿宋_GB2312" w:cs="仿宋_GB2312"/>
          <w:sz w:val="32"/>
          <w:szCs w:val="32"/>
        </w:rPr>
        <w:t>产业，鼓励科研院所、龙头企业与省内外高等院校、科研院所开展合作，采用“平台+项目”“平台+产业基金”“研究院+项目”等模式，加快建设产业创新中心、产业技术</w:t>
      </w:r>
      <w:r>
        <w:rPr>
          <w:rFonts w:hint="eastAsia" w:ascii="仿宋_GB2312" w:hAnsi="仿宋_GB2312" w:eastAsia="仿宋_GB2312" w:cs="仿宋_GB2312"/>
          <w:sz w:val="32"/>
          <w:szCs w:val="32"/>
          <w:lang w:val="en-US" w:eastAsia="zh-CN"/>
        </w:rPr>
        <w:t>创新</w:t>
      </w:r>
      <w:r>
        <w:rPr>
          <w:rFonts w:hint="eastAsia" w:ascii="仿宋_GB2312" w:hAnsi="仿宋_GB2312" w:eastAsia="仿宋_GB2312" w:cs="仿宋_GB2312"/>
          <w:sz w:val="32"/>
          <w:szCs w:val="32"/>
        </w:rPr>
        <w:t>研究院等新型研发结构。探索建立“科创飞地”，以长三角研发、阜阳孵化转化产业化为方向，鼓励龙头企业和产业园区到长三角先发地区，建设科创中心、科技企业孵化器等“科创飞地”。</w:t>
      </w:r>
    </w:p>
    <w:p w14:paraId="452834DE">
      <w:pPr>
        <w:spacing w:line="600" w:lineRule="exact"/>
        <w:ind w:firstLine="643" w:firstLineChars="200"/>
        <w:outlineLvl w:val="2"/>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3.加快创新人才培养集聚</w:t>
      </w:r>
    </w:p>
    <w:p w14:paraId="29B9EBEF">
      <w:pPr>
        <w:pStyle w:val="23"/>
        <w:spacing w:after="0" w:line="600" w:lineRule="exact"/>
        <w:ind w:left="0" w:leftChars="0"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统筹推进“领创工程”“拔尖人才”“后备人才”“创新团队”等重点人才工程，构建层次丰富、结构优化的高素质创新人才梯队。突出“高精尖缺”导向</w:t>
      </w:r>
      <w:r>
        <w:rPr>
          <w:rFonts w:hint="eastAsia" w:ascii="仿宋_GB2312" w:hAnsi="仿宋_GB2312" w:eastAsia="仿宋_GB2312" w:cs="仿宋_GB2312"/>
          <w:sz w:val="32"/>
          <w:szCs w:val="32"/>
          <w:lang w:val="zh-CN"/>
        </w:rPr>
        <w:t>，围绕</w:t>
      </w:r>
      <w:r>
        <w:rPr>
          <w:rFonts w:hint="eastAsia" w:ascii="仿宋_GB2312" w:hAnsi="仿宋_GB2312" w:eastAsia="仿宋_GB2312" w:cs="仿宋_GB2312"/>
          <w:sz w:val="32"/>
          <w:szCs w:val="32"/>
        </w:rPr>
        <w:t>院士工作站、博士后科研工作站等平台建设，以重点工业布局和工业企业“13581”龙头培育工程发展需要，加大战略科技人才、科技领军人才、青年科技人才和基础研究人才培养力度，打造一批高水平和科技专家、高水平工程师和产业创新团队</w:t>
      </w:r>
      <w:r>
        <w:rPr>
          <w:rFonts w:hint="eastAsia" w:ascii="仿宋_GB2312" w:hAnsi="仿宋_GB2312" w:eastAsia="仿宋_GB2312" w:cs="仿宋_GB2312"/>
          <w:sz w:val="32"/>
          <w:szCs w:val="32"/>
          <w:lang w:val="zh-CN"/>
        </w:rPr>
        <w:t>。加强创新型企业家素质提升培训和企业家后备队伍建设，依托国内外顶尖高校举办领军型企业家培训班，定期组织企业家分批分类赴发达地区学习考察，拓宽视野、提升能力。</w:t>
      </w:r>
    </w:p>
    <w:p w14:paraId="1DD2625B">
      <w:pPr>
        <w:spacing w:line="600" w:lineRule="exact"/>
        <w:ind w:firstLine="643" w:firstLineChars="200"/>
        <w:outlineLvl w:val="2"/>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4.加速科技成果转移转化</w:t>
      </w:r>
    </w:p>
    <w:p w14:paraId="339B7E92">
      <w:pPr>
        <w:pStyle w:val="23"/>
        <w:spacing w:after="0" w:line="600" w:lineRule="exact"/>
        <w:ind w:left="0" w:leftChars="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zh-CN"/>
        </w:rPr>
        <w:t>建立健全科技成果转化平台体系，打造“政产学研用金”贯通融合平台。</w:t>
      </w:r>
      <w:r>
        <w:rPr>
          <w:rFonts w:hint="eastAsia" w:ascii="仿宋_GB2312" w:hAnsi="仿宋_GB2312" w:eastAsia="仿宋_GB2312" w:cs="仿宋_GB2312"/>
          <w:sz w:val="32"/>
          <w:szCs w:val="32"/>
        </w:rPr>
        <w:t>加快</w:t>
      </w:r>
      <w:r>
        <w:rPr>
          <w:rFonts w:hint="eastAsia" w:ascii="仿宋_GB2312" w:hAnsi="仿宋_GB2312" w:eastAsia="仿宋_GB2312" w:cs="仿宋_GB2312"/>
          <w:sz w:val="32"/>
          <w:szCs w:val="32"/>
          <w:lang w:val="zh-CN"/>
        </w:rPr>
        <w:t>建立</w:t>
      </w:r>
      <w:r>
        <w:rPr>
          <w:rFonts w:hint="eastAsia" w:ascii="仿宋_GB2312" w:hAnsi="仿宋_GB2312" w:eastAsia="仿宋_GB2312" w:cs="仿宋_GB2312"/>
          <w:sz w:val="32"/>
          <w:szCs w:val="32"/>
        </w:rPr>
        <w:t>全市统一的线上科技成果交易平台，整合高校、科研院所、企业、专家、科技服务机构等各类科技创新资源，融入省网上技术交易平台</w:t>
      </w:r>
      <w:r>
        <w:rPr>
          <w:rFonts w:hint="eastAsia" w:ascii="仿宋_GB2312" w:hAnsi="仿宋_GB2312" w:eastAsia="仿宋_GB2312" w:cs="仿宋_GB2312"/>
          <w:sz w:val="32"/>
          <w:szCs w:val="32"/>
          <w:lang w:val="zh-CN"/>
        </w:rPr>
        <w:t>。支持国内外知名高校、科研机构和企业在我市设立或共建技术转移机构，重点推进浙江大学技术转移中心颍东工作站建设。</w:t>
      </w:r>
      <w:r>
        <w:rPr>
          <w:rFonts w:hint="eastAsia" w:ascii="仿宋_GB2312" w:hAnsi="仿宋_GB2312" w:eastAsia="仿宋_GB2312" w:cs="仿宋_GB2312"/>
          <w:sz w:val="32"/>
          <w:szCs w:val="32"/>
        </w:rPr>
        <w:t>加快推进城南双创中心、离岸科创中心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高校院所专业化技术转移机构等平台</w:t>
      </w:r>
      <w:r>
        <w:rPr>
          <w:rFonts w:hint="eastAsia" w:ascii="仿宋_GB2312" w:hAnsi="仿宋_GB2312" w:eastAsia="仿宋_GB2312" w:cs="仿宋_GB2312"/>
          <w:sz w:val="32"/>
          <w:szCs w:val="32"/>
          <w:lang w:val="zh-CN"/>
        </w:rPr>
        <w:t>建设，</w:t>
      </w:r>
      <w:r>
        <w:rPr>
          <w:rFonts w:hint="eastAsia" w:ascii="仿宋_GB2312" w:hAnsi="仿宋_GB2312" w:eastAsia="仿宋_GB2312" w:cs="仿宋_GB2312"/>
          <w:sz w:val="32"/>
          <w:szCs w:val="32"/>
        </w:rPr>
        <w:t>打造“众创空间+孵化器+加速器”的科技创业孵化链条，争创一批“双创”示范基地。</w:t>
      </w:r>
      <w:r>
        <w:rPr>
          <w:rFonts w:hint="eastAsia" w:ascii="仿宋_GB2312" w:hAnsi="仿宋_GB2312" w:eastAsia="仿宋_GB2312" w:cs="仿宋_GB2312"/>
          <w:sz w:val="32"/>
          <w:szCs w:val="32"/>
          <w:lang w:val="zh-CN"/>
        </w:rPr>
        <w:t>围绕</w:t>
      </w:r>
      <w:r>
        <w:rPr>
          <w:rFonts w:hint="eastAsia" w:ascii="仿宋_GB2312" w:hAnsi="仿宋_GB2312" w:eastAsia="仿宋_GB2312" w:cs="仿宋_GB2312"/>
          <w:sz w:val="32"/>
          <w:szCs w:val="32"/>
        </w:rPr>
        <w:t>节能环保</w:t>
      </w:r>
      <w:r>
        <w:rPr>
          <w:rFonts w:hint="eastAsia" w:ascii="仿宋_GB2312" w:hAnsi="仿宋_GB2312" w:eastAsia="仿宋_GB2312" w:cs="仿宋_GB2312"/>
          <w:sz w:val="32"/>
          <w:szCs w:val="32"/>
          <w:lang w:val="zh-CN"/>
        </w:rPr>
        <w:t>、</w:t>
      </w:r>
      <w:r>
        <w:rPr>
          <w:rFonts w:hint="eastAsia" w:ascii="仿宋_GB2312" w:hAnsi="仿宋_GB2312" w:eastAsia="仿宋_GB2312" w:cs="仿宋_GB2312"/>
          <w:sz w:val="32"/>
          <w:szCs w:val="32"/>
        </w:rPr>
        <w:t>生物医药</w:t>
      </w:r>
      <w:r>
        <w:rPr>
          <w:rFonts w:hint="eastAsia" w:ascii="仿宋_GB2312" w:hAnsi="仿宋_GB2312" w:eastAsia="仿宋_GB2312" w:cs="仿宋_GB2312"/>
          <w:sz w:val="32"/>
          <w:szCs w:val="32"/>
          <w:lang w:val="zh-CN"/>
        </w:rPr>
        <w:t>、</w:t>
      </w:r>
      <w:r>
        <w:rPr>
          <w:rFonts w:hint="eastAsia" w:ascii="仿宋_GB2312" w:hAnsi="仿宋_GB2312" w:eastAsia="仿宋_GB2312" w:cs="仿宋_GB2312"/>
          <w:sz w:val="32"/>
          <w:szCs w:val="32"/>
        </w:rPr>
        <w:t>前沿新材料</w:t>
      </w:r>
      <w:r>
        <w:rPr>
          <w:rFonts w:hint="eastAsia" w:ascii="仿宋_GB2312" w:hAnsi="仿宋_GB2312" w:eastAsia="仿宋_GB2312" w:cs="仿宋_GB2312"/>
          <w:sz w:val="32"/>
          <w:szCs w:val="32"/>
          <w:lang w:val="zh-CN"/>
        </w:rPr>
        <w:t>等领域建立一批</w:t>
      </w:r>
      <w:r>
        <w:rPr>
          <w:rFonts w:hint="eastAsia" w:ascii="仿宋_GB2312" w:hAnsi="仿宋_GB2312" w:eastAsia="仿宋_GB2312" w:cs="仿宋_GB2312"/>
          <w:sz w:val="32"/>
          <w:szCs w:val="32"/>
        </w:rPr>
        <w:t>中试基地、技术熟化基地，</w:t>
      </w:r>
      <w:r>
        <w:rPr>
          <w:rFonts w:hint="eastAsia" w:ascii="仿宋_GB2312" w:hAnsi="仿宋_GB2312" w:eastAsia="仿宋_GB2312" w:cs="仿宋_GB2312"/>
          <w:sz w:val="32"/>
          <w:szCs w:val="32"/>
          <w:lang w:val="zh-CN"/>
        </w:rPr>
        <w:t>打通科技成果向现实生产力转化的通道。</w:t>
      </w:r>
      <w:r>
        <w:rPr>
          <w:rFonts w:hint="eastAsia" w:ascii="仿宋_GB2312" w:hAnsi="仿宋_GB2312" w:eastAsia="仿宋_GB2312" w:cs="仿宋_GB2312"/>
          <w:sz w:val="32"/>
          <w:szCs w:val="32"/>
        </w:rPr>
        <w:t>鼓励银行业金融机构设立科技支行、开展投贷联动试点，引导市级种子投资基金、风险投资基金、科技成果转化引导基金集中支持科技成果转化，开展“科技贷”业务。</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26FD8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6C30B9DB">
            <w:pPr>
              <w:ind w:left="420" w:leftChars="200" w:firstLine="2249" w:firstLineChars="800"/>
              <w:rPr>
                <w:rFonts w:hint="default" w:ascii="仿宋_GB2312" w:hAnsi="仿宋_GB2312" w:eastAsia="仿宋_GB2312"/>
                <w:shd w:val="clear" w:color="auto" w:fill="FFFFFF"/>
                <w:lang w:val="en-US" w:eastAsia="zh-CN"/>
              </w:rPr>
            </w:pPr>
            <w:r>
              <w:rPr>
                <w:rFonts w:hint="eastAsia" w:ascii="仿宋_GB2312" w:hAnsi="宋体" w:eastAsia="仿宋_GB2312" w:cs="宋体"/>
                <w:b/>
                <w:kern w:val="0"/>
                <w:sz w:val="28"/>
                <w:szCs w:val="28"/>
              </w:rPr>
              <w:t>专栏</w:t>
            </w:r>
            <w:r>
              <w:rPr>
                <w:rFonts w:hint="eastAsia" w:ascii="仿宋_GB2312" w:hAnsi="宋体" w:eastAsia="仿宋_GB2312" w:cs="宋体"/>
                <w:b/>
                <w:kern w:val="0"/>
                <w:sz w:val="28"/>
                <w:szCs w:val="28"/>
                <w:lang w:val="en-US" w:eastAsia="zh-CN"/>
              </w:rPr>
              <w:t>5</w:t>
            </w:r>
            <w:r>
              <w:rPr>
                <w:rFonts w:hint="eastAsia" w:ascii="仿宋_GB2312" w:hAnsi="宋体" w:eastAsia="仿宋_GB2312" w:cs="宋体"/>
                <w:b/>
                <w:kern w:val="0"/>
                <w:sz w:val="28"/>
                <w:szCs w:val="28"/>
              </w:rPr>
              <w:t>-</w:t>
            </w:r>
            <w:r>
              <w:rPr>
                <w:rFonts w:hint="eastAsia" w:ascii="仿宋_GB2312" w:hAnsi="宋体" w:eastAsia="仿宋_GB2312" w:cs="宋体"/>
                <w:b/>
                <w:kern w:val="0"/>
                <w:sz w:val="28"/>
                <w:szCs w:val="28"/>
                <w:lang w:val="en-US" w:eastAsia="zh-CN"/>
              </w:rPr>
              <w:t xml:space="preserve">1 </w:t>
            </w:r>
            <w:r>
              <w:rPr>
                <w:rFonts w:hint="eastAsia" w:ascii="仿宋_GB2312" w:hAnsi="宋体" w:eastAsia="仿宋_GB2312" w:cs="宋体"/>
                <w:b/>
                <w:kern w:val="0"/>
                <w:sz w:val="28"/>
                <w:szCs w:val="28"/>
              </w:rPr>
              <w:t>创新</w:t>
            </w:r>
            <w:r>
              <w:rPr>
                <w:rFonts w:hint="eastAsia" w:ascii="仿宋_GB2312" w:hAnsi="宋体" w:eastAsia="仿宋_GB2312" w:cs="宋体"/>
                <w:b/>
                <w:kern w:val="0"/>
                <w:sz w:val="28"/>
                <w:szCs w:val="28"/>
                <w:lang w:val="en-US" w:eastAsia="zh-CN"/>
              </w:rPr>
              <w:t>能力提升专栏</w:t>
            </w:r>
          </w:p>
        </w:tc>
      </w:tr>
      <w:tr w14:paraId="4BEE7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0C3FA3AA">
            <w:pPr>
              <w:pStyle w:val="23"/>
              <w:spacing w:after="0" w:line="600" w:lineRule="exact"/>
              <w:ind w:left="0" w:leftChars="0" w:firstLine="562"/>
              <w:rPr>
                <w:rFonts w:hint="eastAsia" w:ascii="Times New Roman" w:hAnsi="Times New Roman" w:eastAsia="仿宋_GB2312" w:cs="Times New Roman"/>
                <w:sz w:val="28"/>
                <w:szCs w:val="28"/>
              </w:rPr>
            </w:pPr>
            <w:r>
              <w:rPr>
                <w:rFonts w:hint="eastAsia" w:ascii="Times New Roman" w:hAnsi="Times New Roman" w:eastAsia="仿宋_GB2312" w:cs="Times New Roman"/>
                <w:b/>
                <w:bCs/>
                <w:sz w:val="28"/>
                <w:szCs w:val="28"/>
              </w:rPr>
              <w:t>实施科技创新“4111”五年行动。</w:t>
            </w:r>
            <w:r>
              <w:rPr>
                <w:rFonts w:hint="eastAsia" w:ascii="Times New Roman" w:hAnsi="Times New Roman" w:eastAsia="仿宋_GB2312" w:cs="Times New Roman"/>
                <w:sz w:val="28"/>
                <w:szCs w:val="28"/>
              </w:rPr>
              <w:t>聚焦院所、平台、成果、人才引进四大目标，强化积极对接、企业主体、加大投入三大举措，推动形成科技创新工作新抓手、新局面。</w:t>
            </w:r>
            <w:r>
              <w:rPr>
                <w:rStyle w:val="36"/>
                <w:rFonts w:ascii="Times New Roman" w:hAnsi="Times New Roman" w:eastAsia="仿宋_GB2312" w:cs="Times New Roman"/>
                <w:b/>
                <w:bCs/>
                <w:sz w:val="28"/>
                <w:szCs w:val="28"/>
              </w:rPr>
              <w:t>引进院所、平台、成果、人才</w:t>
            </w:r>
            <w:r>
              <w:rPr>
                <w:rStyle w:val="36"/>
                <w:rFonts w:hint="eastAsia" w:ascii="Times New Roman" w:hAnsi="Times New Roman" w:eastAsia="仿宋_GB2312" w:cs="Times New Roman"/>
                <w:b/>
                <w:bCs/>
                <w:sz w:val="28"/>
                <w:szCs w:val="28"/>
              </w:rPr>
              <w:t>。</w:t>
            </w:r>
            <w:r>
              <w:rPr>
                <w:rFonts w:hint="eastAsia" w:ascii="Times New Roman" w:hAnsi="Times New Roman" w:eastAsia="仿宋_GB2312" w:cs="Times New Roman"/>
                <w:sz w:val="28"/>
                <w:szCs w:val="28"/>
              </w:rPr>
              <w:t>以工业创新和企业需求为导向，主动对接大院大所，创新合作模式，集中开展工业关键技术攻坚。按照“一个优势主导产业一个先进产业研究院”的要求，</w:t>
            </w:r>
            <w:r>
              <w:rPr>
                <w:rFonts w:hint="eastAsia" w:ascii="Times New Roman" w:hAnsi="Times New Roman" w:eastAsia="仿宋_GB2312" w:cs="Times New Roman"/>
                <w:sz w:val="28"/>
                <w:szCs w:val="28"/>
                <w:lang w:val="en-US" w:eastAsia="zh-CN"/>
              </w:rPr>
              <w:t>建立市特色产业技术创新研究院</w:t>
            </w:r>
            <w:r>
              <w:rPr>
                <w:rFonts w:hint="eastAsia" w:ascii="Times New Roman" w:hAnsi="Times New Roman" w:eastAsia="仿宋_GB2312" w:cs="Times New Roman"/>
                <w:sz w:val="28"/>
                <w:szCs w:val="28"/>
              </w:rPr>
              <w:t>，研发和转化一批重大原创性成果</w:t>
            </w: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lang w:val="en-US" w:eastAsia="zh-CN"/>
              </w:rPr>
              <w:t>到2025年，实现全市新增“首台套”“首批次”“首版次”45个</w:t>
            </w:r>
            <w:r>
              <w:rPr>
                <w:rFonts w:hint="eastAsia" w:ascii="Times New Roman" w:hAnsi="Times New Roman" w:eastAsia="仿宋_GB2312" w:cs="Times New Roman"/>
                <w:sz w:val="28"/>
                <w:szCs w:val="28"/>
              </w:rPr>
              <w:t>。创新人才招引方式，积极引进企业急需紧缺人才、行业顶尖人才。</w:t>
            </w:r>
            <w:r>
              <w:rPr>
                <w:rFonts w:hint="eastAsia" w:ascii="Times New Roman" w:hAnsi="Times New Roman" w:eastAsia="仿宋_GB2312" w:cs="Times New Roman"/>
                <w:b/>
                <w:bCs/>
                <w:sz w:val="28"/>
                <w:szCs w:val="28"/>
              </w:rPr>
              <w:t>发挥企业主体作用。</w:t>
            </w:r>
            <w:r>
              <w:rPr>
                <w:rFonts w:hint="eastAsia" w:ascii="Times New Roman" w:hAnsi="Times New Roman" w:eastAsia="仿宋_GB2312" w:cs="Times New Roman"/>
                <w:sz w:val="28"/>
                <w:szCs w:val="28"/>
              </w:rPr>
              <w:t>完善科技成果供给和转化机制，支持企业主动吸纳大院大所重大科技成果，与大院大所共建工程（技术）研究中心、企业技术中心等新型研发机构，</w:t>
            </w:r>
            <w:r>
              <w:rPr>
                <w:rFonts w:hint="eastAsia" w:ascii="Times New Roman" w:hAnsi="Times New Roman" w:eastAsia="仿宋_GB2312" w:cs="Times New Roman"/>
                <w:sz w:val="28"/>
                <w:szCs w:val="28"/>
                <w:lang w:val="en-US" w:eastAsia="zh-CN"/>
              </w:rPr>
              <w:t>到2025年，力争全市国家级企业技术中心达到4家，省级企业技术中心达到145家</w:t>
            </w:r>
            <w:r>
              <w:rPr>
                <w:rFonts w:hint="eastAsia" w:ascii="Times New Roman" w:hAnsi="Times New Roman" w:eastAsia="仿宋_GB2312" w:cs="Times New Roman"/>
                <w:sz w:val="28"/>
                <w:szCs w:val="28"/>
              </w:rPr>
              <w:t>。</w:t>
            </w:r>
            <w:r>
              <w:rPr>
                <w:rFonts w:hint="eastAsia" w:ascii="Times New Roman" w:hAnsi="Times New Roman" w:eastAsia="仿宋_GB2312" w:cs="Times New Roman"/>
                <w:b/>
                <w:bCs/>
                <w:sz w:val="28"/>
                <w:szCs w:val="28"/>
              </w:rPr>
              <w:t>加大科技创新投入。</w:t>
            </w:r>
            <w:r>
              <w:rPr>
                <w:rFonts w:hint="eastAsia" w:ascii="Times New Roman" w:hAnsi="Times New Roman" w:eastAsia="仿宋_GB2312" w:cs="Times New Roman"/>
                <w:sz w:val="28"/>
                <w:szCs w:val="28"/>
              </w:rPr>
              <w:t>通过加大财政科技投入、推动科技金融创新、修订完善科技创新奖补政策等方式，</w:t>
            </w:r>
            <w:r>
              <w:rPr>
                <w:rFonts w:hint="eastAsia" w:ascii="Times New Roman" w:hAnsi="Times New Roman" w:eastAsia="仿宋_GB2312" w:cs="Times New Roman"/>
                <w:sz w:val="28"/>
                <w:szCs w:val="28"/>
                <w:lang w:val="en-US" w:eastAsia="zh-CN"/>
              </w:rPr>
              <w:t>鼓励企业</w:t>
            </w:r>
            <w:r>
              <w:rPr>
                <w:rFonts w:hint="eastAsia" w:ascii="Times New Roman" w:hAnsi="Times New Roman" w:eastAsia="仿宋_GB2312" w:cs="Times New Roman"/>
                <w:sz w:val="28"/>
                <w:szCs w:val="28"/>
              </w:rPr>
              <w:t>不断加大对科技创新的资金投入</w:t>
            </w:r>
            <w:r>
              <w:rPr>
                <w:rStyle w:val="26"/>
                <w:rFonts w:hint="eastAsia" w:ascii="Times New Roman" w:hAnsi="Times New Roman" w:eastAsia="仿宋_GB2312" w:cs="Times New Roman"/>
                <w:sz w:val="28"/>
                <w:szCs w:val="28"/>
                <w:lang w:eastAsia="zh-CN"/>
              </w:rPr>
              <w:t>，</w:t>
            </w:r>
            <w:r>
              <w:rPr>
                <w:rStyle w:val="26"/>
                <w:rFonts w:hint="eastAsia" w:ascii="Times New Roman" w:hAnsi="Times New Roman" w:eastAsia="仿宋_GB2312" w:cs="Times New Roman"/>
                <w:sz w:val="28"/>
                <w:szCs w:val="28"/>
                <w:lang w:val="en-US" w:eastAsia="zh-CN"/>
              </w:rPr>
              <w:t>到2025年，实现规上工业企业R&amp;D经费支出占GDP比重达到1.72%</w:t>
            </w:r>
            <w:r>
              <w:rPr>
                <w:rFonts w:hint="eastAsia" w:ascii="Times New Roman" w:hAnsi="Times New Roman" w:eastAsia="仿宋_GB2312" w:cs="Times New Roman"/>
                <w:sz w:val="28"/>
                <w:szCs w:val="28"/>
              </w:rPr>
              <w:t>。</w:t>
            </w:r>
          </w:p>
          <w:p w14:paraId="44875882">
            <w:pPr>
              <w:pStyle w:val="23"/>
              <w:spacing w:after="0" w:line="600" w:lineRule="exact"/>
              <w:ind w:left="0" w:leftChars="0" w:firstLine="562"/>
              <w:rPr>
                <w:rFonts w:ascii="Times New Roman" w:hAnsi="Times New Roman" w:eastAsia="仿宋_GB2312" w:cs="Times New Roman"/>
                <w:sz w:val="28"/>
                <w:szCs w:val="21"/>
              </w:rPr>
            </w:pPr>
            <w:r>
              <w:rPr>
                <w:rFonts w:hint="eastAsia" w:ascii="Times New Roman" w:hAnsi="Times New Roman" w:eastAsia="仿宋_GB2312" w:cs="Times New Roman"/>
                <w:b/>
                <w:bCs/>
                <w:sz w:val="28"/>
                <w:szCs w:val="21"/>
              </w:rPr>
              <w:t>完善工业创新生态环境。</w:t>
            </w:r>
            <w:r>
              <w:rPr>
                <w:rFonts w:hint="eastAsia" w:ascii="Times New Roman" w:hAnsi="Times New Roman" w:eastAsia="仿宋_GB2312" w:cs="Times New Roman"/>
                <w:sz w:val="28"/>
                <w:szCs w:val="21"/>
              </w:rPr>
              <w:t>依据产业链、供应链、创新链、资本链、人才链、政策链“</w:t>
            </w:r>
            <w:r>
              <w:rPr>
                <w:rFonts w:hint="eastAsia" w:ascii="Times New Roman" w:hAnsi="Times New Roman" w:eastAsia="仿宋_GB2312" w:cs="Times New Roman"/>
                <w:sz w:val="28"/>
                <w:szCs w:val="21"/>
                <w:lang w:val="en-US" w:eastAsia="zh-CN"/>
              </w:rPr>
              <w:t>多</w:t>
            </w:r>
            <w:r>
              <w:rPr>
                <w:rFonts w:hint="eastAsia" w:ascii="Times New Roman" w:hAnsi="Times New Roman" w:eastAsia="仿宋_GB2312" w:cs="Times New Roman"/>
                <w:sz w:val="28"/>
                <w:szCs w:val="21"/>
              </w:rPr>
              <w:t>链</w:t>
            </w:r>
            <w:r>
              <w:rPr>
                <w:rFonts w:hint="eastAsia" w:ascii="Times New Roman" w:hAnsi="Times New Roman" w:eastAsia="仿宋_GB2312" w:cs="Times New Roman"/>
                <w:sz w:val="28"/>
                <w:szCs w:val="21"/>
                <w:lang w:val="en-US" w:eastAsia="zh-CN"/>
              </w:rPr>
              <w:t>协同</w:t>
            </w:r>
            <w:r>
              <w:rPr>
                <w:rFonts w:hint="eastAsia" w:ascii="Times New Roman" w:hAnsi="Times New Roman" w:eastAsia="仿宋_GB2312" w:cs="Times New Roman"/>
                <w:sz w:val="28"/>
                <w:szCs w:val="21"/>
              </w:rPr>
              <w:t>”的工作思路，构建“</w:t>
            </w:r>
            <w:r>
              <w:rPr>
                <w:rFonts w:hint="eastAsia" w:ascii="Times New Roman" w:hAnsi="Times New Roman" w:eastAsia="仿宋_GB2312" w:cs="Times New Roman"/>
                <w:sz w:val="28"/>
                <w:szCs w:val="21"/>
                <w:lang w:val="en-US" w:eastAsia="zh-CN"/>
              </w:rPr>
              <w:t>多</w:t>
            </w:r>
            <w:r>
              <w:rPr>
                <w:rFonts w:hint="eastAsia" w:ascii="Times New Roman" w:hAnsi="Times New Roman" w:eastAsia="仿宋_GB2312" w:cs="Times New Roman"/>
                <w:sz w:val="28"/>
                <w:szCs w:val="21"/>
              </w:rPr>
              <w:t>链</w:t>
            </w:r>
            <w:r>
              <w:rPr>
                <w:rFonts w:hint="eastAsia" w:ascii="Times New Roman" w:hAnsi="Times New Roman" w:eastAsia="仿宋_GB2312" w:cs="Times New Roman"/>
                <w:sz w:val="28"/>
                <w:szCs w:val="21"/>
                <w:lang w:val="en-US" w:eastAsia="zh-CN"/>
              </w:rPr>
              <w:t>协同</w:t>
            </w:r>
            <w:r>
              <w:rPr>
                <w:rFonts w:hint="eastAsia" w:ascii="Times New Roman" w:hAnsi="Times New Roman" w:eastAsia="仿宋_GB2312" w:cs="Times New Roman"/>
                <w:sz w:val="28"/>
                <w:szCs w:val="21"/>
              </w:rPr>
              <w:t>”+优质高效政务服务的创新生态环境。</w:t>
            </w:r>
            <w:r>
              <w:rPr>
                <w:rFonts w:hint="eastAsia" w:ascii="Times New Roman" w:hAnsi="Times New Roman" w:eastAsia="仿宋_GB2312" w:cs="Times New Roman"/>
                <w:b/>
                <w:bCs/>
                <w:sz w:val="28"/>
                <w:szCs w:val="21"/>
              </w:rPr>
              <w:t>围绕产业链布局创新链，</w:t>
            </w:r>
            <w:r>
              <w:rPr>
                <w:rFonts w:hint="eastAsia" w:ascii="Times New Roman" w:hAnsi="Times New Roman" w:eastAsia="仿宋_GB2312" w:cs="Times New Roman"/>
                <w:sz w:val="28"/>
                <w:szCs w:val="21"/>
              </w:rPr>
              <w:t>发挥企业在产学研融合中的主导作用，构建以企业需求为导向的科研立项机制，催生更多充满活力的市场主体。</w:t>
            </w:r>
            <w:r>
              <w:rPr>
                <w:rFonts w:hint="eastAsia" w:ascii="Times New Roman" w:hAnsi="Times New Roman" w:eastAsia="仿宋_GB2312" w:cs="Times New Roman"/>
                <w:b/>
                <w:bCs/>
                <w:sz w:val="28"/>
                <w:szCs w:val="21"/>
              </w:rPr>
              <w:t>围绕产业链、创新链布局资金链，</w:t>
            </w:r>
            <w:r>
              <w:rPr>
                <w:rFonts w:hint="eastAsia" w:ascii="Times New Roman" w:hAnsi="Times New Roman" w:eastAsia="仿宋_GB2312" w:cs="Times New Roman"/>
                <w:sz w:val="28"/>
                <w:szCs w:val="21"/>
              </w:rPr>
              <w:t>发挥好省级股权投资基金引导作用，发展壮大市场化产业基金，推动金融资本要素对接创新成果转化全过程、企业生命全周期、产业形成全链条，对集群内引领性、基础性、高成长项目给予重点支持。</w:t>
            </w:r>
            <w:r>
              <w:rPr>
                <w:rFonts w:hint="eastAsia" w:ascii="Times New Roman" w:hAnsi="Times New Roman" w:eastAsia="仿宋_GB2312" w:cs="Times New Roman"/>
                <w:b/>
                <w:bCs/>
                <w:sz w:val="28"/>
                <w:szCs w:val="21"/>
              </w:rPr>
              <w:t>围绕产业链、创新链布局人才链，</w:t>
            </w:r>
            <w:r>
              <w:rPr>
                <w:rFonts w:hint="eastAsia" w:ascii="Times New Roman" w:hAnsi="Times New Roman" w:eastAsia="仿宋_GB2312" w:cs="Times New Roman"/>
                <w:sz w:val="28"/>
                <w:szCs w:val="21"/>
              </w:rPr>
              <w:t>实施领军型人才、创新创业团队引进培育计划，重点引进培育对我市支柱产业发展具有重大影响、经济和社会效益显著的领军型创新创业团队。</w:t>
            </w:r>
            <w:r>
              <w:rPr>
                <w:rFonts w:hint="eastAsia" w:ascii="Times New Roman" w:hAnsi="Times New Roman" w:eastAsia="仿宋_GB2312" w:cs="Times New Roman"/>
                <w:b/>
                <w:bCs/>
                <w:sz w:val="28"/>
                <w:szCs w:val="21"/>
              </w:rPr>
              <w:t>营造优质高效政务服务的发展生态。</w:t>
            </w:r>
            <w:r>
              <w:rPr>
                <w:rFonts w:hint="eastAsia" w:ascii="Times New Roman" w:hAnsi="Times New Roman" w:eastAsia="仿宋_GB2312" w:cs="Times New Roman"/>
                <w:sz w:val="28"/>
                <w:szCs w:val="21"/>
              </w:rPr>
              <w:t>构筑市场化、法治化、专业化、开放型、服务型、效率型一流营商环境，打造产业发展大平台，优化产业发展生态环境，推动“</w:t>
            </w:r>
            <w:r>
              <w:rPr>
                <w:rFonts w:hint="eastAsia" w:ascii="Times New Roman" w:hAnsi="Times New Roman" w:eastAsia="仿宋_GB2312" w:cs="Times New Roman"/>
                <w:sz w:val="28"/>
                <w:szCs w:val="21"/>
                <w:lang w:val="en-US" w:eastAsia="zh-CN"/>
              </w:rPr>
              <w:t>多</w:t>
            </w:r>
            <w:r>
              <w:rPr>
                <w:rFonts w:hint="eastAsia" w:ascii="Times New Roman" w:hAnsi="Times New Roman" w:eastAsia="仿宋_GB2312" w:cs="Times New Roman"/>
                <w:sz w:val="28"/>
                <w:szCs w:val="21"/>
              </w:rPr>
              <w:t>链</w:t>
            </w:r>
            <w:r>
              <w:rPr>
                <w:rFonts w:hint="eastAsia" w:ascii="Times New Roman" w:hAnsi="Times New Roman" w:eastAsia="仿宋_GB2312" w:cs="Times New Roman"/>
                <w:sz w:val="28"/>
                <w:szCs w:val="21"/>
                <w:lang w:val="en-US" w:eastAsia="zh-CN"/>
              </w:rPr>
              <w:t>协同</w:t>
            </w:r>
            <w:r>
              <w:rPr>
                <w:rFonts w:hint="eastAsia" w:ascii="Times New Roman" w:hAnsi="Times New Roman" w:eastAsia="仿宋_GB2312" w:cs="Times New Roman"/>
                <w:sz w:val="28"/>
                <w:szCs w:val="21"/>
              </w:rPr>
              <w:t>”协同发力，构建产业集聚发展“强磁场”。</w:t>
            </w:r>
          </w:p>
        </w:tc>
      </w:tr>
    </w:tbl>
    <w:p w14:paraId="7448911D">
      <w:pPr>
        <w:ind w:firstLine="643" w:firstLineChars="200"/>
        <w:outlineLvl w:val="1"/>
        <w:rPr>
          <w:rFonts w:ascii="楷体_GB2312" w:hAnsi="楷体_GB2312" w:eastAsia="楷体_GB2312" w:cs="楷体_GB2312"/>
          <w:b/>
          <w:bCs/>
          <w:sz w:val="32"/>
          <w:szCs w:val="32"/>
        </w:rPr>
      </w:pPr>
      <w:bookmarkStart w:id="304" w:name="_Toc19804"/>
      <w:bookmarkStart w:id="305" w:name="_Toc1538"/>
      <w:bookmarkStart w:id="306" w:name="_Toc370"/>
      <w:bookmarkStart w:id="307" w:name="_Toc28930"/>
      <w:bookmarkStart w:id="308" w:name="_Toc23528"/>
      <w:bookmarkStart w:id="309" w:name="_Toc11098"/>
      <w:bookmarkStart w:id="310" w:name="_Toc31387"/>
      <w:bookmarkStart w:id="311" w:name="_Toc6835"/>
      <w:bookmarkStart w:id="312" w:name="_Toc9365"/>
      <w:bookmarkStart w:id="313" w:name="_Toc31447"/>
      <w:bookmarkStart w:id="314" w:name="_Toc3256"/>
      <w:bookmarkStart w:id="315" w:name="_Toc16531"/>
      <w:bookmarkStart w:id="316" w:name="_Toc16197"/>
      <w:bookmarkStart w:id="317" w:name="_Toc31693"/>
      <w:bookmarkStart w:id="318" w:name="_Toc21591"/>
      <w:bookmarkStart w:id="319" w:name="_Toc29576"/>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二</w:t>
      </w:r>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优质企业</w:t>
      </w:r>
      <w:r>
        <w:rPr>
          <w:rFonts w:hint="eastAsia" w:ascii="楷体_GB2312" w:hAnsi="楷体_GB2312" w:eastAsia="楷体_GB2312" w:cs="楷体_GB2312"/>
          <w:b/>
          <w:bCs/>
          <w:sz w:val="32"/>
          <w:szCs w:val="32"/>
        </w:rPr>
        <w:t>培育</w:t>
      </w:r>
      <w:bookmarkEnd w:id="304"/>
      <w:r>
        <w:rPr>
          <w:rFonts w:hint="eastAsia" w:ascii="楷体_GB2312" w:hAnsi="楷体_GB2312" w:eastAsia="楷体_GB2312" w:cs="楷体_GB2312"/>
          <w:b/>
          <w:bCs/>
          <w:sz w:val="32"/>
          <w:szCs w:val="32"/>
        </w:rPr>
        <w:t>工程</w:t>
      </w:r>
      <w:bookmarkEnd w:id="305"/>
      <w:bookmarkEnd w:id="306"/>
      <w:bookmarkEnd w:id="307"/>
      <w:bookmarkEnd w:id="308"/>
      <w:bookmarkEnd w:id="309"/>
      <w:bookmarkEnd w:id="310"/>
      <w:bookmarkEnd w:id="311"/>
      <w:bookmarkEnd w:id="312"/>
      <w:bookmarkEnd w:id="313"/>
      <w:bookmarkEnd w:id="314"/>
    </w:p>
    <w:p w14:paraId="609E1ED7">
      <w:pPr>
        <w:pStyle w:val="23"/>
        <w:spacing w:after="0" w:line="600" w:lineRule="exact"/>
        <w:ind w:left="0" w:leftChars="0" w:firstLine="640"/>
        <w:rPr>
          <w:rFonts w:ascii="Times New Roman" w:hAnsi="Times New Roman" w:eastAsia="仿宋_GB2312" w:cs="Times New Roman"/>
          <w:sz w:val="32"/>
          <w:szCs w:val="22"/>
        </w:rPr>
      </w:pPr>
      <w:r>
        <w:rPr>
          <w:rFonts w:ascii="Times New Roman" w:hAnsi="Times New Roman" w:eastAsia="仿宋_GB2312" w:cs="Times New Roman"/>
          <w:sz w:val="32"/>
          <w:szCs w:val="22"/>
        </w:rPr>
        <w:t>遵循高成长型小微企业</w:t>
      </w:r>
      <w:r>
        <w:rPr>
          <w:rFonts w:hint="eastAsia" w:ascii="Times New Roman" w:hAnsi="Times New Roman" w:eastAsia="仿宋_GB2312" w:cs="Times New Roman"/>
          <w:sz w:val="32"/>
          <w:szCs w:val="22"/>
        </w:rPr>
        <w:t>、</w:t>
      </w:r>
      <w:r>
        <w:rPr>
          <w:rFonts w:ascii="Times New Roman" w:hAnsi="Times New Roman" w:eastAsia="仿宋_GB2312" w:cs="Times New Roman"/>
          <w:sz w:val="32"/>
          <w:szCs w:val="22"/>
        </w:rPr>
        <w:t>规上企业</w:t>
      </w:r>
      <w:r>
        <w:rPr>
          <w:rFonts w:hint="eastAsia" w:ascii="Times New Roman" w:hAnsi="Times New Roman" w:eastAsia="仿宋_GB2312" w:cs="Times New Roman"/>
          <w:sz w:val="32"/>
          <w:szCs w:val="22"/>
        </w:rPr>
        <w:t>、</w:t>
      </w:r>
      <w:r>
        <w:rPr>
          <w:rFonts w:ascii="Times New Roman" w:hAnsi="Times New Roman" w:eastAsia="仿宋_GB2312" w:cs="Times New Roman"/>
          <w:sz w:val="32"/>
          <w:szCs w:val="22"/>
        </w:rPr>
        <w:t>专精特新企业</w:t>
      </w:r>
      <w:r>
        <w:rPr>
          <w:rFonts w:hint="eastAsia" w:ascii="Times New Roman" w:hAnsi="Times New Roman" w:eastAsia="仿宋_GB2312" w:cs="Times New Roman"/>
          <w:sz w:val="32"/>
          <w:szCs w:val="22"/>
        </w:rPr>
        <w:t>、龙头企业</w:t>
      </w:r>
      <w:r>
        <w:rPr>
          <w:rFonts w:ascii="Times New Roman" w:hAnsi="Times New Roman" w:eastAsia="仿宋_GB2312" w:cs="Times New Roman"/>
          <w:sz w:val="32"/>
          <w:szCs w:val="22"/>
        </w:rPr>
        <w:t>梯次培育路径，</w:t>
      </w:r>
      <w:r>
        <w:rPr>
          <w:rFonts w:hint="eastAsia" w:ascii="Times New Roman" w:hAnsi="Times New Roman" w:eastAsia="仿宋_GB2312" w:cs="Times New Roman"/>
          <w:sz w:val="32"/>
          <w:szCs w:val="22"/>
        </w:rPr>
        <w:t>进一步培育市场主体，</w:t>
      </w:r>
      <w:r>
        <w:rPr>
          <w:rFonts w:ascii="Times New Roman" w:hAnsi="Times New Roman" w:eastAsia="仿宋_GB2312" w:cs="Times New Roman"/>
          <w:sz w:val="32"/>
          <w:szCs w:val="22"/>
        </w:rPr>
        <w:t>打造具有核心竞争力的</w:t>
      </w:r>
      <w:r>
        <w:rPr>
          <w:rFonts w:hint="eastAsia" w:ascii="Times New Roman" w:hAnsi="Times New Roman" w:eastAsia="仿宋_GB2312" w:cs="Times New Roman"/>
          <w:sz w:val="32"/>
          <w:szCs w:val="22"/>
        </w:rPr>
        <w:t>龙头</w:t>
      </w:r>
      <w:r>
        <w:rPr>
          <w:rFonts w:ascii="Times New Roman" w:hAnsi="Times New Roman" w:eastAsia="仿宋_GB2312" w:cs="Times New Roman"/>
          <w:sz w:val="32"/>
          <w:szCs w:val="22"/>
        </w:rPr>
        <w:t>企业，培育深耕细分市场、具有行业领军地位的“专精特新”</w:t>
      </w:r>
      <w:r>
        <w:rPr>
          <w:rFonts w:hint="eastAsia" w:ascii="Times New Roman" w:hAnsi="Times New Roman" w:eastAsia="仿宋_GB2312" w:cs="Times New Roman"/>
          <w:sz w:val="32"/>
          <w:szCs w:val="22"/>
        </w:rPr>
        <w:t>冠军</w:t>
      </w:r>
      <w:r>
        <w:rPr>
          <w:rFonts w:ascii="Times New Roman" w:hAnsi="Times New Roman" w:eastAsia="仿宋_GB2312" w:cs="Times New Roman"/>
          <w:sz w:val="32"/>
          <w:szCs w:val="22"/>
        </w:rPr>
        <w:t>企业，培育“一招鲜”的“专精特新”中小企业</w:t>
      </w:r>
      <w:r>
        <w:rPr>
          <w:rFonts w:hint="eastAsia" w:ascii="Times New Roman" w:hAnsi="Times New Roman" w:eastAsia="仿宋_GB2312" w:cs="Times New Roman"/>
          <w:sz w:val="32"/>
          <w:szCs w:val="22"/>
        </w:rPr>
        <w:t>，推动成长型小微企业上规模、上水平，构造</w:t>
      </w:r>
      <w:r>
        <w:rPr>
          <w:rFonts w:ascii="Times New Roman" w:hAnsi="Times New Roman" w:eastAsia="仿宋_GB2312" w:cs="Times New Roman"/>
          <w:sz w:val="32"/>
          <w:szCs w:val="22"/>
        </w:rPr>
        <w:t>优秀企业梯队。</w:t>
      </w:r>
    </w:p>
    <w:p w14:paraId="2744B3C1">
      <w:pPr>
        <w:spacing w:line="600" w:lineRule="exact"/>
        <w:ind w:firstLine="643" w:firstLineChars="200"/>
        <w:outlineLvl w:val="2"/>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1.实施“13581”龙头培育工程</w:t>
      </w:r>
    </w:p>
    <w:p w14:paraId="0B9B3851">
      <w:pPr>
        <w:pStyle w:val="23"/>
        <w:spacing w:after="0" w:line="600" w:lineRule="exact"/>
        <w:ind w:left="0" w:leftChars="0" w:firstLine="640"/>
        <w:rPr>
          <w:rFonts w:ascii="Times New Roman" w:hAnsi="Times New Roman" w:eastAsia="仿宋_GB2312" w:cs="Times New Roman"/>
          <w:sz w:val="32"/>
          <w:szCs w:val="22"/>
        </w:rPr>
      </w:pPr>
      <w:r>
        <w:rPr>
          <w:rFonts w:hint="eastAsia" w:ascii="Times New Roman" w:hAnsi="Times New Roman" w:eastAsia="仿宋_GB2312" w:cs="Times New Roman"/>
          <w:sz w:val="32"/>
          <w:szCs w:val="22"/>
        </w:rPr>
        <w:t>充分发挥工业龙头企业在</w:t>
      </w:r>
      <w:r>
        <w:rPr>
          <w:rFonts w:hint="eastAsia" w:ascii="Times New Roman" w:hAnsi="Times New Roman" w:eastAsia="仿宋_GB2312" w:cs="Times New Roman"/>
          <w:sz w:val="32"/>
          <w:szCs w:val="22"/>
          <w:lang w:val="en-US" w:eastAsia="zh-CN"/>
        </w:rPr>
        <w:t>产城融合、制造强市</w:t>
      </w:r>
      <w:r>
        <w:rPr>
          <w:rFonts w:hint="eastAsia" w:ascii="Times New Roman" w:hAnsi="Times New Roman" w:eastAsia="仿宋_GB2312" w:cs="Times New Roman"/>
          <w:sz w:val="32"/>
          <w:szCs w:val="22"/>
        </w:rPr>
        <w:t>中的引领、示范和带动作用，坚持政府引导、目标激励、分级培育、一企一策，集中优势资源，提供精准服务，培育一批对全市经济发展起支撑引领作用，在产业链供应链中具备支配地位的龙头企业。鼓励龙头企业围绕产业链和供应链通过兼并、收购、联合、参股等多种形式，开展对本地关联中小企业整合重组，开展跨地区、跨行业、跨所有制的兼并重组及投资合作，促进规模化、集约化经营。引导市内外龙头企业强化战略合作，打造强强联合的产业联盟、战略联盟、攻守同盟。鼓励龙头企业自主建设“园中园”，保障用地、用能等要素供给。按照“培育一批、股改一批、辅导一批、挂牌一批、上市一批”的思路，健全完善企业挂牌上市后备资源库，加快推进企业上市。</w:t>
      </w:r>
    </w:p>
    <w:p w14:paraId="35B025DB">
      <w:pPr>
        <w:spacing w:line="600" w:lineRule="exact"/>
        <w:ind w:firstLine="643" w:firstLineChars="200"/>
        <w:outlineLvl w:val="2"/>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2.加大“专精特新”培育力度</w:t>
      </w:r>
    </w:p>
    <w:p w14:paraId="4726455E">
      <w:pPr>
        <w:pStyle w:val="23"/>
        <w:spacing w:after="0" w:line="600" w:lineRule="exact"/>
        <w:ind w:left="0" w:leftChars="0" w:firstLine="640"/>
        <w:rPr>
          <w:rFonts w:ascii="Times New Roman" w:hAnsi="Times New Roman" w:eastAsia="仿宋_GB2312" w:cs="Times New Roman"/>
          <w:sz w:val="32"/>
          <w:szCs w:val="22"/>
        </w:rPr>
      </w:pPr>
      <w:r>
        <w:rPr>
          <w:rFonts w:hint="eastAsia" w:ascii="Times New Roman" w:hAnsi="Times New Roman" w:eastAsia="仿宋_GB2312" w:cs="Times New Roman"/>
          <w:sz w:val="32"/>
          <w:szCs w:val="22"/>
        </w:rPr>
        <w:t>深入贯彻落实习近平总书记关于培育一批“专精特新”中小企业的系列重要指示精神，坚持“专精特新”发展导向，支持“专精特新”中小企业高质量发展。实施中小企业专精特新提升工程，建立专精特新培育企业动态管理培育库，开展分类指导、精准服务、监测评价、动态跟踪，鼓励和引导中小企业走“专精特新”之路，支持打造细分行业领域的“单项冠军”和“隐形冠军”，培育一批具有竞争力产品的核心配套企业。加大省科技型中小企业和“双高”企业培育，培育一批拥有核心关键技术的高成长、创新型企业。</w:t>
      </w:r>
    </w:p>
    <w:p w14:paraId="4C3BFC87">
      <w:pPr>
        <w:spacing w:line="600" w:lineRule="exact"/>
        <w:ind w:firstLine="643" w:firstLineChars="200"/>
        <w:outlineLvl w:val="2"/>
        <w:rPr>
          <w:rFonts w:ascii="Times New Roman" w:hAnsi="Times New Roman" w:eastAsia="仿宋_GB2312" w:cs="Times New Roman"/>
          <w:b/>
          <w:bCs/>
          <w:sz w:val="32"/>
          <w:szCs w:val="32"/>
        </w:rPr>
      </w:pPr>
      <w:bookmarkStart w:id="320" w:name="_Toc5781"/>
      <w:r>
        <w:rPr>
          <w:rFonts w:hint="eastAsia" w:ascii="Times New Roman" w:hAnsi="Times New Roman" w:eastAsia="仿宋_GB2312" w:cs="Times New Roman"/>
          <w:b/>
          <w:bCs/>
          <w:sz w:val="32"/>
          <w:szCs w:val="32"/>
        </w:rPr>
        <w:t>3.鼓励小微企业上规模</w:t>
      </w:r>
      <w:bookmarkEnd w:id="320"/>
    </w:p>
    <w:p w14:paraId="36A63538">
      <w:pPr>
        <w:pStyle w:val="23"/>
        <w:spacing w:after="0" w:line="600" w:lineRule="exact"/>
        <w:ind w:left="0" w:leftChars="0" w:firstLine="640"/>
        <w:rPr>
          <w:rFonts w:ascii="Times New Roman" w:hAnsi="Times New Roman" w:eastAsia="仿宋_GB2312" w:cs="Times New Roman"/>
          <w:b/>
          <w:bCs/>
          <w:sz w:val="32"/>
          <w:szCs w:val="32"/>
        </w:rPr>
      </w:pPr>
      <w:r>
        <w:rPr>
          <w:rFonts w:hint="eastAsia" w:ascii="Times New Roman" w:hAnsi="Times New Roman" w:eastAsia="仿宋_GB2312" w:cs="Times New Roman"/>
          <w:sz w:val="32"/>
          <w:szCs w:val="22"/>
        </w:rPr>
        <w:t>加强调研摸排，建立小微工业企业基础信息库。筛选一批有发展潜力的企业作为重点培育对象，建立完善重点培育企业库。加强对重点培育企业的帮扶、指导、服务，助推年主营业务收入达到规模以上的小微企业上规升级。实施“小升规”企业进库纳统奖励，引导和激励小微工业企业上规模发展。</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7B82F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7B768A26">
            <w:pPr>
              <w:ind w:left="420" w:leftChars="200" w:firstLine="1687" w:firstLineChars="600"/>
              <w:rPr>
                <w:rFonts w:hint="eastAsia" w:ascii="仿宋_GB2312" w:hAnsi="仿宋_GB2312" w:eastAsia="仿宋_GB2312"/>
                <w:shd w:val="clear" w:color="auto" w:fill="FFFFFF"/>
                <w:lang w:val="en-US" w:eastAsia="zh-CN"/>
              </w:rPr>
            </w:pPr>
            <w:r>
              <w:rPr>
                <w:rFonts w:hint="eastAsia" w:ascii="仿宋_GB2312" w:hAnsi="宋体" w:eastAsia="仿宋_GB2312" w:cs="宋体"/>
                <w:b/>
                <w:kern w:val="0"/>
                <w:sz w:val="28"/>
                <w:szCs w:val="28"/>
              </w:rPr>
              <w:t>专栏5-</w:t>
            </w:r>
            <w:r>
              <w:rPr>
                <w:rFonts w:hint="eastAsia" w:ascii="仿宋_GB2312" w:hAnsi="宋体" w:eastAsia="仿宋_GB2312" w:cs="宋体"/>
                <w:b/>
                <w:kern w:val="0"/>
                <w:sz w:val="28"/>
                <w:szCs w:val="28"/>
                <w:lang w:val="en-US" w:eastAsia="zh-CN"/>
              </w:rPr>
              <w:t xml:space="preserve">2 </w:t>
            </w:r>
            <w:r>
              <w:rPr>
                <w:rFonts w:hint="eastAsia" w:ascii="仿宋_GB2312" w:hAnsi="宋体" w:eastAsia="仿宋_GB2312" w:cs="宋体"/>
                <w:b/>
                <w:kern w:val="0"/>
                <w:sz w:val="28"/>
                <w:szCs w:val="28"/>
              </w:rPr>
              <w:t>工业</w:t>
            </w:r>
            <w:r>
              <w:rPr>
                <w:rFonts w:hint="eastAsia" w:ascii="仿宋_GB2312" w:hAnsi="宋体" w:eastAsia="仿宋_GB2312" w:cs="宋体"/>
                <w:b/>
                <w:kern w:val="0"/>
                <w:sz w:val="28"/>
                <w:szCs w:val="28"/>
                <w:lang w:val="en-US" w:eastAsia="zh-CN"/>
              </w:rPr>
              <w:t>优质企业</w:t>
            </w:r>
            <w:r>
              <w:rPr>
                <w:rFonts w:hint="eastAsia" w:ascii="仿宋_GB2312" w:hAnsi="宋体" w:eastAsia="仿宋_GB2312" w:cs="宋体"/>
                <w:b/>
                <w:kern w:val="0"/>
                <w:sz w:val="28"/>
                <w:szCs w:val="28"/>
              </w:rPr>
              <w:t>培育</w:t>
            </w:r>
            <w:r>
              <w:rPr>
                <w:rFonts w:hint="eastAsia" w:ascii="仿宋_GB2312" w:hAnsi="宋体" w:eastAsia="仿宋_GB2312" w:cs="宋体"/>
                <w:b/>
                <w:kern w:val="0"/>
                <w:sz w:val="28"/>
                <w:szCs w:val="28"/>
                <w:lang w:val="en-US" w:eastAsia="zh-CN"/>
              </w:rPr>
              <w:t>专栏</w:t>
            </w:r>
          </w:p>
        </w:tc>
      </w:tr>
      <w:tr w14:paraId="01BFA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6A6189C1">
            <w:pPr>
              <w:spacing w:line="600" w:lineRule="exact"/>
              <w:ind w:firstLine="562" w:firstLineChars="200"/>
              <w:rPr>
                <w:rFonts w:ascii="Times New Roman" w:hAnsi="Times New Roman" w:eastAsia="仿宋_GB2312" w:cs="Times New Roman"/>
                <w:sz w:val="28"/>
                <w:szCs w:val="28"/>
              </w:rPr>
            </w:pPr>
            <w:r>
              <w:rPr>
                <w:rFonts w:hint="eastAsia" w:ascii="仿宋_GB2312" w:eastAsia="仿宋_GB2312" w:cs="Times New Roman"/>
                <w:b/>
                <w:bCs/>
                <w:sz w:val="28"/>
                <w:szCs w:val="28"/>
              </w:rPr>
              <w:t>龙头企业培育工程。</w:t>
            </w:r>
            <w:r>
              <w:rPr>
                <w:rFonts w:hint="eastAsia" w:ascii="仿宋_GB2312" w:eastAsia="仿宋_GB2312" w:cs="Times New Roman"/>
                <w:sz w:val="28"/>
                <w:szCs w:val="28"/>
              </w:rPr>
              <w:t>全面落实“13581”龙头培育工程，通过财政资金支持、上规模奖励等措施，鼓励龙头企业做大做强；强化要素保障，为龙头企业发展提供优质的服务、资金、用能、用地、人才、住房、科技等保障；开展专项效能督查，把培育工作纳入各县市区重点考核内容。</w:t>
            </w:r>
            <w:r>
              <w:rPr>
                <w:rFonts w:hint="eastAsia" w:ascii="Times New Roman" w:hAnsi="Times New Roman" w:eastAsia="仿宋_GB2312" w:cs="Times New Roman"/>
                <w:sz w:val="28"/>
                <w:szCs w:val="28"/>
              </w:rPr>
              <w:t>到2025年，力争培育</w:t>
            </w:r>
            <w:r>
              <w:rPr>
                <w:rFonts w:hint="eastAsia" w:ascii="Times New Roman" w:hAnsi="Times New Roman" w:eastAsia="仿宋_GB2312" w:cs="Times New Roman"/>
                <w:sz w:val="28"/>
                <w:szCs w:val="28"/>
                <w:lang w:val="en-US" w:eastAsia="zh-CN"/>
              </w:rPr>
              <w:t>5</w:t>
            </w:r>
            <w:r>
              <w:rPr>
                <w:rFonts w:hint="eastAsia" w:ascii="Times New Roman" w:hAnsi="Times New Roman" w:eastAsia="仿宋_GB2312" w:cs="Times New Roman"/>
                <w:sz w:val="28"/>
                <w:szCs w:val="28"/>
              </w:rPr>
              <w:t>家产值百亿元企业，</w:t>
            </w:r>
            <w:r>
              <w:rPr>
                <w:rFonts w:hint="eastAsia" w:ascii="Times New Roman" w:hAnsi="Times New Roman" w:eastAsia="仿宋_GB2312" w:cs="Times New Roman"/>
                <w:sz w:val="28"/>
                <w:szCs w:val="28"/>
                <w:lang w:val="en-US" w:eastAsia="zh-CN"/>
              </w:rPr>
              <w:t>5</w:t>
            </w:r>
            <w:r>
              <w:rPr>
                <w:rFonts w:hint="eastAsia" w:ascii="Times New Roman" w:hAnsi="Times New Roman" w:eastAsia="仿宋_GB2312" w:cs="Times New Roman"/>
                <w:sz w:val="28"/>
                <w:szCs w:val="28"/>
              </w:rPr>
              <w:t>家产值80</w:t>
            </w:r>
            <w:r>
              <w:rPr>
                <w:rFonts w:hint="eastAsia" w:ascii="Times New Roman" w:hAnsi="Times New Roman" w:eastAsia="仿宋_GB2312" w:cs="Times New Roman"/>
                <w:sz w:val="28"/>
                <w:szCs w:val="28"/>
                <w:lang w:val="en-US" w:eastAsia="zh-CN"/>
              </w:rPr>
              <w:t>-100</w:t>
            </w:r>
            <w:r>
              <w:rPr>
                <w:rFonts w:hint="eastAsia" w:ascii="Times New Roman" w:hAnsi="Times New Roman" w:eastAsia="仿宋_GB2312" w:cs="Times New Roman"/>
                <w:sz w:val="28"/>
                <w:szCs w:val="28"/>
              </w:rPr>
              <w:t>亿元企业，</w:t>
            </w:r>
            <w:r>
              <w:rPr>
                <w:rFonts w:hint="eastAsia" w:ascii="Times New Roman" w:hAnsi="Times New Roman" w:eastAsia="仿宋_GB2312" w:cs="Times New Roman"/>
                <w:sz w:val="28"/>
                <w:szCs w:val="28"/>
                <w:lang w:val="en-US" w:eastAsia="zh-CN"/>
              </w:rPr>
              <w:t>5</w:t>
            </w:r>
            <w:r>
              <w:rPr>
                <w:rFonts w:hint="eastAsia" w:ascii="Times New Roman" w:hAnsi="Times New Roman" w:eastAsia="仿宋_GB2312" w:cs="Times New Roman"/>
                <w:sz w:val="28"/>
                <w:szCs w:val="28"/>
              </w:rPr>
              <w:t>家产值50</w:t>
            </w:r>
            <w:r>
              <w:rPr>
                <w:rFonts w:hint="eastAsia" w:ascii="Times New Roman" w:hAnsi="Times New Roman" w:eastAsia="仿宋_GB2312" w:cs="Times New Roman"/>
                <w:sz w:val="28"/>
                <w:szCs w:val="28"/>
                <w:lang w:val="en-US" w:eastAsia="zh-CN"/>
              </w:rPr>
              <w:t>-80</w:t>
            </w:r>
            <w:r>
              <w:rPr>
                <w:rFonts w:hint="eastAsia" w:ascii="Times New Roman" w:hAnsi="Times New Roman" w:eastAsia="仿宋_GB2312" w:cs="Times New Roman"/>
                <w:sz w:val="28"/>
                <w:szCs w:val="28"/>
              </w:rPr>
              <w:t>亿元企业，1</w:t>
            </w:r>
            <w:r>
              <w:rPr>
                <w:rFonts w:hint="eastAsia" w:ascii="Times New Roman" w:hAnsi="Times New Roman" w:eastAsia="仿宋_GB2312" w:cs="Times New Roman"/>
                <w:sz w:val="28"/>
                <w:szCs w:val="28"/>
                <w:lang w:val="en-US" w:eastAsia="zh-CN"/>
              </w:rPr>
              <w:t>5</w:t>
            </w:r>
            <w:r>
              <w:rPr>
                <w:rFonts w:hint="eastAsia" w:ascii="Times New Roman" w:hAnsi="Times New Roman" w:eastAsia="仿宋_GB2312" w:cs="Times New Roman"/>
                <w:sz w:val="28"/>
                <w:szCs w:val="28"/>
              </w:rPr>
              <w:t>家产值30</w:t>
            </w:r>
            <w:r>
              <w:rPr>
                <w:rFonts w:hint="eastAsia" w:ascii="Times New Roman" w:hAnsi="Times New Roman" w:eastAsia="仿宋_GB2312" w:cs="Times New Roman"/>
                <w:sz w:val="28"/>
                <w:szCs w:val="28"/>
                <w:lang w:val="en-US" w:eastAsia="zh-CN"/>
              </w:rPr>
              <w:t>-50</w:t>
            </w:r>
            <w:r>
              <w:rPr>
                <w:rFonts w:hint="eastAsia" w:ascii="Times New Roman" w:hAnsi="Times New Roman" w:eastAsia="仿宋_GB2312" w:cs="Times New Roman"/>
                <w:sz w:val="28"/>
                <w:szCs w:val="28"/>
              </w:rPr>
              <w:t>亿元企业，</w:t>
            </w:r>
            <w:r>
              <w:rPr>
                <w:rFonts w:hint="eastAsia" w:ascii="Times New Roman" w:hAnsi="Times New Roman" w:eastAsia="仿宋_GB2312" w:cs="Times New Roman"/>
                <w:sz w:val="28"/>
                <w:szCs w:val="28"/>
                <w:lang w:val="en-US" w:eastAsia="zh-CN"/>
              </w:rPr>
              <w:t>50</w:t>
            </w:r>
            <w:r>
              <w:rPr>
                <w:rFonts w:hint="eastAsia" w:ascii="Times New Roman" w:hAnsi="Times New Roman" w:eastAsia="仿宋_GB2312" w:cs="Times New Roman"/>
                <w:sz w:val="28"/>
                <w:szCs w:val="28"/>
              </w:rPr>
              <w:t>家产值10</w:t>
            </w:r>
            <w:r>
              <w:rPr>
                <w:rFonts w:hint="eastAsia" w:ascii="Times New Roman" w:hAnsi="Times New Roman" w:eastAsia="仿宋_GB2312" w:cs="Times New Roman"/>
                <w:sz w:val="28"/>
                <w:szCs w:val="28"/>
                <w:lang w:val="en-US" w:eastAsia="zh-CN"/>
              </w:rPr>
              <w:t>-30</w:t>
            </w:r>
            <w:r>
              <w:rPr>
                <w:rFonts w:hint="eastAsia" w:ascii="Times New Roman" w:hAnsi="Times New Roman" w:eastAsia="仿宋_GB2312" w:cs="Times New Roman"/>
                <w:sz w:val="28"/>
                <w:szCs w:val="28"/>
              </w:rPr>
              <w:t>亿元企业。</w:t>
            </w:r>
          </w:p>
          <w:p w14:paraId="5E9D0923">
            <w:pPr>
              <w:spacing w:line="600" w:lineRule="exact"/>
              <w:ind w:firstLine="562" w:firstLineChars="200"/>
              <w:rPr>
                <w:rFonts w:ascii="Times New Roman" w:hAnsi="Times New Roman" w:eastAsia="仿宋_GB2312" w:cs="Times New Roman"/>
                <w:sz w:val="28"/>
                <w:szCs w:val="28"/>
              </w:rPr>
            </w:pPr>
            <w:r>
              <w:rPr>
                <w:rFonts w:hint="eastAsia" w:ascii="仿宋_GB2312" w:hAnsi="宋体" w:eastAsia="仿宋_GB2312" w:cs="宋体"/>
                <w:b/>
                <w:kern w:val="0"/>
                <w:sz w:val="28"/>
                <w:szCs w:val="28"/>
              </w:rPr>
              <w:t>“专精特新”中小企业提升工程。</w:t>
            </w:r>
            <w:r>
              <w:rPr>
                <w:rFonts w:hint="eastAsia" w:ascii="仿宋_GB2312" w:eastAsia="仿宋_GB2312" w:cs="Times New Roman"/>
                <w:sz w:val="28"/>
                <w:szCs w:val="28"/>
              </w:rPr>
              <w:t>实施促进民营经济发展若干政策，着力缓解中小企业转型难、融资难等问题，重点推动“专精特新”中小企业发展、公共服务体系建设、融资服务体系建设等。完善市级培育库、市级“专精特新”企业、省级“专精特新”企业、国家级专精特新“小巨人”梯次培育机制</w:t>
            </w:r>
            <w:r>
              <w:rPr>
                <w:rFonts w:hint="eastAsia" w:ascii="Times New Roman" w:hAnsi="Times New Roman" w:eastAsia="仿宋_GB2312" w:cs="Times New Roman"/>
                <w:sz w:val="28"/>
                <w:szCs w:val="28"/>
              </w:rPr>
              <w:t>。到2025年，</w:t>
            </w:r>
            <w:r>
              <w:rPr>
                <w:rFonts w:hint="eastAsia" w:ascii="Times New Roman" w:hAnsi="Times New Roman" w:eastAsia="仿宋_GB2312" w:cs="Times New Roman"/>
                <w:sz w:val="28"/>
                <w:szCs w:val="28"/>
                <w:lang w:val="en-US" w:eastAsia="zh-CN"/>
              </w:rPr>
              <w:t>累计</w:t>
            </w:r>
            <w:r>
              <w:rPr>
                <w:rFonts w:hint="eastAsia" w:ascii="Times New Roman" w:hAnsi="Times New Roman" w:eastAsia="仿宋_GB2312" w:cs="Times New Roman"/>
                <w:sz w:val="28"/>
                <w:szCs w:val="28"/>
              </w:rPr>
              <w:t>培育省级“专精特新”中小企业</w:t>
            </w:r>
            <w:r>
              <w:rPr>
                <w:rFonts w:hint="eastAsia" w:ascii="Times New Roman" w:hAnsi="Times New Roman" w:eastAsia="仿宋_GB2312" w:cs="Times New Roman"/>
                <w:sz w:val="28"/>
                <w:szCs w:val="28"/>
                <w:lang w:val="en-US" w:eastAsia="zh-CN"/>
              </w:rPr>
              <w:t>150</w:t>
            </w:r>
            <w:r>
              <w:rPr>
                <w:rFonts w:hint="eastAsia" w:ascii="Times New Roman" w:hAnsi="Times New Roman" w:eastAsia="仿宋_GB2312" w:cs="Times New Roman"/>
                <w:sz w:val="28"/>
                <w:szCs w:val="28"/>
              </w:rPr>
              <w:t>家，国家级专精特新“小巨人”企业</w:t>
            </w:r>
            <w:r>
              <w:rPr>
                <w:rFonts w:hint="eastAsia" w:ascii="Times New Roman" w:hAnsi="Times New Roman" w:eastAsia="仿宋_GB2312" w:cs="Times New Roman"/>
                <w:sz w:val="28"/>
                <w:szCs w:val="28"/>
                <w:lang w:val="en-US" w:eastAsia="zh-CN"/>
              </w:rPr>
              <w:t>15</w:t>
            </w:r>
            <w:r>
              <w:rPr>
                <w:rFonts w:hint="eastAsia" w:ascii="Times New Roman" w:hAnsi="Times New Roman" w:eastAsia="仿宋_GB2312" w:cs="Times New Roman"/>
                <w:sz w:val="28"/>
                <w:szCs w:val="28"/>
              </w:rPr>
              <w:t>家</w:t>
            </w:r>
            <w:r>
              <w:rPr>
                <w:rFonts w:hint="eastAsia" w:ascii="Times New Roman" w:hAnsi="Times New Roman" w:eastAsia="仿宋_GB2312" w:cs="Times New Roman"/>
                <w:sz w:val="28"/>
                <w:szCs w:val="28"/>
                <w:lang w:val="en-US" w:eastAsia="zh-CN"/>
              </w:rPr>
              <w:t>以上</w:t>
            </w:r>
            <w:r>
              <w:rPr>
                <w:rFonts w:hint="eastAsia" w:ascii="Times New Roman" w:hAnsi="Times New Roman" w:eastAsia="仿宋_GB2312" w:cs="Times New Roman"/>
                <w:sz w:val="28"/>
                <w:szCs w:val="28"/>
              </w:rPr>
              <w:t>。</w:t>
            </w:r>
          </w:p>
          <w:p w14:paraId="59A143A6">
            <w:pPr>
              <w:spacing w:line="600" w:lineRule="exact"/>
              <w:ind w:firstLine="562" w:firstLineChars="200"/>
            </w:pPr>
            <w:r>
              <w:rPr>
                <w:rFonts w:hint="eastAsia" w:ascii="仿宋_GB2312" w:eastAsia="仿宋_GB2312" w:cs="Times New Roman"/>
                <w:b/>
                <w:bCs/>
                <w:sz w:val="28"/>
                <w:szCs w:val="28"/>
              </w:rPr>
              <w:t>小微企业上规模工程。</w:t>
            </w:r>
            <w:r>
              <w:rPr>
                <w:rFonts w:hint="eastAsia" w:ascii="仿宋_GB2312" w:eastAsia="仿宋_GB2312" w:cs="Times New Roman"/>
                <w:sz w:val="28"/>
                <w:szCs w:val="28"/>
              </w:rPr>
              <w:t>建立“一企一策”机制，指导企业上规升级。通过全面普查各县市区规上和规下工业企业，并进行亩均评价，基本掌握全区工业企业情况，从中排摸筛选出符合政策导向、发展潜力良好的优质企业进入小升规培育库。分行业出台相关规范管理政策，通过差别化用电、用水、用能、土地使用税等政策，出清低效企业、规下企业。</w:t>
            </w:r>
          </w:p>
        </w:tc>
      </w:tr>
    </w:tbl>
    <w:p w14:paraId="345B5995">
      <w:pPr>
        <w:ind w:firstLine="643" w:firstLineChars="200"/>
        <w:outlineLvl w:val="1"/>
        <w:rPr>
          <w:rFonts w:ascii="楷体_GB2312" w:hAnsi="楷体_GB2312" w:eastAsia="楷体_GB2312" w:cs="楷体_GB2312"/>
          <w:b/>
          <w:bCs/>
          <w:sz w:val="32"/>
          <w:szCs w:val="32"/>
        </w:rPr>
      </w:pPr>
      <w:bookmarkStart w:id="321" w:name="_Toc30740"/>
      <w:bookmarkStart w:id="322" w:name="_Toc8435"/>
      <w:bookmarkStart w:id="323" w:name="_Toc21703"/>
      <w:bookmarkStart w:id="324" w:name="_Toc6117"/>
      <w:bookmarkStart w:id="325" w:name="_Toc20364"/>
      <w:bookmarkStart w:id="326" w:name="_Toc6467"/>
      <w:bookmarkStart w:id="327" w:name="_Toc25463"/>
      <w:bookmarkStart w:id="328" w:name="_Toc6235"/>
      <w:bookmarkStart w:id="329" w:name="_Toc19556"/>
      <w:r>
        <w:rPr>
          <w:rFonts w:hint="eastAsia" w:ascii="楷体_GB2312" w:hAnsi="楷体_GB2312" w:eastAsia="楷体_GB2312" w:cs="楷体_GB2312"/>
          <w:b/>
          <w:bCs/>
          <w:sz w:val="32"/>
          <w:szCs w:val="32"/>
        </w:rPr>
        <w:t>（三）</w:t>
      </w:r>
      <w:bookmarkEnd w:id="315"/>
      <w:bookmarkEnd w:id="316"/>
      <w:bookmarkEnd w:id="317"/>
      <w:r>
        <w:rPr>
          <w:rFonts w:hint="eastAsia" w:ascii="楷体_GB2312" w:hAnsi="楷体_GB2312" w:eastAsia="楷体_GB2312" w:cs="楷体_GB2312"/>
          <w:b/>
          <w:bCs/>
          <w:sz w:val="32"/>
          <w:szCs w:val="32"/>
        </w:rPr>
        <w:t>数字赋能</w:t>
      </w:r>
      <w:r>
        <w:rPr>
          <w:rFonts w:hint="eastAsia" w:ascii="楷体_GB2312" w:hAnsi="楷体_GB2312" w:eastAsia="楷体_GB2312" w:cs="楷体_GB2312"/>
          <w:b/>
          <w:bCs/>
          <w:sz w:val="32"/>
          <w:szCs w:val="32"/>
          <w:lang w:val="en-US" w:eastAsia="zh-CN"/>
        </w:rPr>
        <w:t>发展</w:t>
      </w:r>
      <w:r>
        <w:rPr>
          <w:rFonts w:hint="eastAsia" w:ascii="楷体_GB2312" w:hAnsi="楷体_GB2312" w:eastAsia="楷体_GB2312" w:cs="楷体_GB2312"/>
          <w:b/>
          <w:bCs/>
          <w:sz w:val="32"/>
          <w:szCs w:val="32"/>
        </w:rPr>
        <w:t>工程</w:t>
      </w:r>
      <w:bookmarkEnd w:id="318"/>
      <w:bookmarkEnd w:id="321"/>
      <w:bookmarkEnd w:id="322"/>
      <w:bookmarkEnd w:id="323"/>
      <w:bookmarkEnd w:id="324"/>
      <w:bookmarkEnd w:id="325"/>
      <w:bookmarkEnd w:id="326"/>
      <w:bookmarkEnd w:id="327"/>
      <w:bookmarkEnd w:id="328"/>
      <w:bookmarkEnd w:id="329"/>
    </w:p>
    <w:p w14:paraId="403B4687">
      <w:pPr>
        <w:pStyle w:val="23"/>
        <w:spacing w:after="0" w:line="600" w:lineRule="exact"/>
        <w:ind w:left="0" w:leftChars="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贯彻落实国家建设网络强国、数字中国战略和安徽省数字江淮建设部署，推动制造业向数字化、网络化、智能化转型，以工业互联网建设为抓手，全面提升企业研发、生产、管理和服务的智能化水平。</w:t>
      </w:r>
    </w:p>
    <w:p w14:paraId="1A74F56D">
      <w:pPr>
        <w:spacing w:line="600" w:lineRule="exact"/>
        <w:ind w:firstLine="643" w:firstLineChars="200"/>
        <w:outlineLvl w:val="2"/>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1</w:t>
      </w:r>
      <w:r>
        <w:rPr>
          <w:rFonts w:hint="eastAsia" w:ascii="Times New Roman" w:hAnsi="Times New Roman" w:eastAsia="仿宋_GB2312" w:cs="Times New Roman"/>
          <w:b/>
          <w:bCs/>
          <w:sz w:val="32"/>
          <w:szCs w:val="32"/>
        </w:rPr>
        <w:t>.</w:t>
      </w:r>
      <w:r>
        <w:rPr>
          <w:rFonts w:hint="eastAsia" w:ascii="Times New Roman" w:hAnsi="Times New Roman" w:eastAsia="仿宋_GB2312" w:cs="Times New Roman"/>
          <w:b/>
          <w:bCs/>
          <w:sz w:val="32"/>
          <w:szCs w:val="32"/>
          <w:lang w:val="en-US" w:eastAsia="zh-CN"/>
        </w:rPr>
        <w:t>推动</w:t>
      </w:r>
      <w:r>
        <w:rPr>
          <w:rFonts w:hint="eastAsia" w:ascii="Times New Roman" w:hAnsi="Times New Roman" w:eastAsia="仿宋_GB2312" w:cs="Times New Roman"/>
          <w:b/>
          <w:bCs/>
          <w:sz w:val="32"/>
          <w:szCs w:val="32"/>
        </w:rPr>
        <w:t>传统产业</w:t>
      </w:r>
      <w:r>
        <w:rPr>
          <w:rFonts w:hint="eastAsia" w:ascii="Times New Roman" w:hAnsi="Times New Roman" w:eastAsia="仿宋_GB2312" w:cs="Times New Roman"/>
          <w:b/>
          <w:bCs/>
          <w:sz w:val="32"/>
          <w:szCs w:val="32"/>
          <w:lang w:val="en-US" w:eastAsia="zh-CN"/>
        </w:rPr>
        <w:t>技术改造</w:t>
      </w:r>
    </w:p>
    <w:p w14:paraId="00FCBC94">
      <w:pPr>
        <w:pStyle w:val="23"/>
        <w:spacing w:after="0" w:line="600" w:lineRule="exact"/>
        <w:ind w:left="0" w:leftChars="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引导和推动传统产业以市场为导向实施更大范围、更高层次的新一轮大规模技术改造，梳理谋划一批对投资强拉动、利长远、增后劲的重大技术改造项目，支撑和带动投资增长，助力传统产业改造升级，推进技改全覆盖。引导绿色建筑建材、纺织服装类等传统产业加快关键工序核心设备更新改造，提升生产效率和产品质量。鼓励综合实力较强的企业以技改扩能为突破口，延长产业链，提高产品附加值和核心竞争力，催生企业发展新动能。</w:t>
      </w:r>
    </w:p>
    <w:p w14:paraId="51F58AA0">
      <w:pPr>
        <w:pStyle w:val="23"/>
        <w:spacing w:after="0" w:line="600" w:lineRule="exact"/>
        <w:ind w:left="0" w:leftChars="0" w:firstLine="640"/>
        <w:rPr>
          <w:rFonts w:hint="default" w:ascii="仿宋_GB2312" w:hAnsi="仿宋_GB2312" w:eastAsia="仿宋_GB2312" w:cs="仿宋_GB2312"/>
          <w:sz w:val="32"/>
          <w:szCs w:val="32"/>
          <w:lang w:val="en-US" w:eastAsia="zh-CN"/>
        </w:rPr>
      </w:pPr>
    </w:p>
    <w:p w14:paraId="32FE01BA">
      <w:pPr>
        <w:spacing w:line="600" w:lineRule="exact"/>
        <w:ind w:firstLine="643" w:firstLineChars="200"/>
        <w:outlineLvl w:val="2"/>
        <w:rPr>
          <w:rFonts w:ascii="Times New Roman" w:hAnsi="Times New Roman" w:eastAsia="仿宋_GB2312" w:cs="Times New Roman"/>
          <w:b/>
          <w:bCs/>
          <w:sz w:val="32"/>
          <w:szCs w:val="32"/>
        </w:rPr>
      </w:pPr>
      <w:bookmarkStart w:id="330" w:name="_Toc16365"/>
      <w:r>
        <w:rPr>
          <w:rFonts w:hint="eastAsia" w:ascii="Times New Roman" w:hAnsi="Times New Roman" w:eastAsia="仿宋_GB2312" w:cs="Times New Roman"/>
          <w:b/>
          <w:bCs/>
          <w:sz w:val="32"/>
          <w:szCs w:val="32"/>
          <w:lang w:val="en-US" w:eastAsia="zh-CN"/>
        </w:rPr>
        <w:t>2</w:t>
      </w:r>
      <w:r>
        <w:rPr>
          <w:rFonts w:hint="eastAsia" w:ascii="Times New Roman" w:hAnsi="Times New Roman" w:eastAsia="仿宋_GB2312" w:cs="Times New Roman"/>
          <w:b/>
          <w:bCs/>
          <w:sz w:val="32"/>
          <w:szCs w:val="32"/>
        </w:rPr>
        <w:t>.加快</w:t>
      </w:r>
      <w:bookmarkEnd w:id="330"/>
      <w:r>
        <w:rPr>
          <w:rFonts w:hint="eastAsia" w:ascii="Times New Roman" w:hAnsi="Times New Roman" w:eastAsia="仿宋_GB2312" w:cs="Times New Roman"/>
          <w:b/>
          <w:bCs/>
          <w:sz w:val="32"/>
          <w:szCs w:val="32"/>
        </w:rPr>
        <w:t>企业智能化改造</w:t>
      </w:r>
    </w:p>
    <w:p w14:paraId="31A38A6C">
      <w:pPr>
        <w:pStyle w:val="23"/>
        <w:spacing w:after="0" w:line="600" w:lineRule="exact"/>
        <w:ind w:left="0" w:leftChars="0"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以推进智能化改造为主攻方向，着力发展智能装备和智能产品，引导企业实施“设备换芯”“生产换线”和“机器换人”，推进生产过程智能化，培育新型生产方式，全面提升企业研发、生产的智能化水平。制定全市智能工厂（数字化车间）培育计划，组织专家开展技术咨询和诊断服务，在</w:t>
      </w:r>
      <w:r>
        <w:rPr>
          <w:rFonts w:hint="eastAsia" w:ascii="仿宋_GB2312" w:hAnsi="仿宋_GB2312" w:eastAsia="仿宋_GB2312" w:cs="仿宋_GB2312"/>
          <w:sz w:val="32"/>
          <w:szCs w:val="32"/>
          <w:lang w:val="en-US" w:eastAsia="zh-CN"/>
        </w:rPr>
        <w:t>新材料</w:t>
      </w:r>
      <w:r>
        <w:rPr>
          <w:rFonts w:hint="eastAsia" w:ascii="仿宋_GB2312" w:hAnsi="仿宋_GB2312" w:eastAsia="仿宋_GB2312" w:cs="仿宋_GB2312"/>
          <w:sz w:val="32"/>
          <w:szCs w:val="32"/>
        </w:rPr>
        <w:t>、纺织服装等流程型制造和装备制造等离散型制造行业开展试点示范，形成一批数字化车间、智能工厂综合解决方案。推广应用工业机器人，加快重点行业生产设备的智能化改造。</w:t>
      </w:r>
    </w:p>
    <w:p w14:paraId="6215D656">
      <w:pPr>
        <w:spacing w:line="600" w:lineRule="exact"/>
        <w:ind w:firstLine="643" w:firstLineChars="200"/>
        <w:outlineLvl w:val="2"/>
        <w:rPr>
          <w:rFonts w:ascii="Times New Roman" w:hAnsi="Times New Roman" w:eastAsia="仿宋_GB2312" w:cs="Times New Roman"/>
          <w:b/>
          <w:bCs/>
          <w:sz w:val="32"/>
          <w:szCs w:val="32"/>
        </w:rPr>
      </w:pPr>
      <w:bookmarkStart w:id="331" w:name="_Toc21585"/>
      <w:r>
        <w:rPr>
          <w:rFonts w:hint="eastAsia" w:ascii="Times New Roman" w:hAnsi="Times New Roman" w:eastAsia="仿宋_GB2312" w:cs="Times New Roman"/>
          <w:b/>
          <w:bCs/>
          <w:sz w:val="32"/>
          <w:szCs w:val="32"/>
          <w:lang w:val="en-US" w:eastAsia="zh-CN"/>
        </w:rPr>
        <w:t>3</w:t>
      </w:r>
      <w:r>
        <w:rPr>
          <w:rFonts w:hint="eastAsia" w:ascii="Times New Roman" w:hAnsi="Times New Roman" w:eastAsia="仿宋_GB2312" w:cs="Times New Roman"/>
          <w:b/>
          <w:bCs/>
          <w:sz w:val="32"/>
          <w:szCs w:val="32"/>
        </w:rPr>
        <w:t>.推</w:t>
      </w:r>
      <w:r>
        <w:rPr>
          <w:rFonts w:hint="eastAsia" w:ascii="Times New Roman" w:hAnsi="Times New Roman" w:eastAsia="仿宋_GB2312" w:cs="Times New Roman"/>
          <w:b/>
          <w:bCs/>
          <w:sz w:val="32"/>
          <w:szCs w:val="32"/>
          <w:lang w:val="en-US" w:eastAsia="zh-CN"/>
        </w:rPr>
        <w:t>进</w:t>
      </w:r>
      <w:r>
        <w:rPr>
          <w:rFonts w:hint="eastAsia" w:ascii="Times New Roman" w:hAnsi="Times New Roman" w:eastAsia="仿宋_GB2312" w:cs="Times New Roman"/>
          <w:b/>
          <w:bCs/>
          <w:sz w:val="32"/>
          <w:szCs w:val="32"/>
        </w:rPr>
        <w:t>两化融合向纵深发展</w:t>
      </w:r>
      <w:bookmarkEnd w:id="331"/>
    </w:p>
    <w:p w14:paraId="76E22B45">
      <w:pPr>
        <w:pStyle w:val="23"/>
        <w:spacing w:after="0" w:line="600" w:lineRule="exact"/>
        <w:ind w:left="0" w:leftChars="0"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加速推进工业化和信息化深度融合，尤其是5G、物联网、互联网、大数据、人工智能等新一代信息技术与制造业的深度融合，提升信息化环境下企业核心竞争力。推广普及两化融合“贯标2.0”模式，积极引导企业对照国家数字化转型新型能力体系标准、工业数据分类分级指南等开展对标、评估、诊断，强化数据管理水平，提升在数字化时代的核心竞争力。推动“皖企登云”提质扩面，鼓励面向中小企业开发低成本、轻量化、高效率的信息化解决方案，推进混合云或“云边结合”模式在中小企业中的普及应用，逐步实现中小企业设备登云、业务登云、数据登云。</w:t>
      </w:r>
    </w:p>
    <w:p w14:paraId="46171BD0">
      <w:pPr>
        <w:spacing w:line="600" w:lineRule="exact"/>
        <w:ind w:firstLine="643" w:firstLineChars="200"/>
        <w:outlineLvl w:val="2"/>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lang w:val="en-US" w:eastAsia="zh-CN"/>
        </w:rPr>
        <w:t>4</w:t>
      </w:r>
      <w:r>
        <w:rPr>
          <w:rFonts w:hint="eastAsia" w:ascii="Times New Roman" w:hAnsi="Times New Roman" w:eastAsia="仿宋_GB2312" w:cs="Times New Roman"/>
          <w:b/>
          <w:bCs/>
          <w:sz w:val="32"/>
          <w:szCs w:val="32"/>
        </w:rPr>
        <w:t>.加快工业互联网创新发展</w:t>
      </w:r>
    </w:p>
    <w:p w14:paraId="55E499EE">
      <w:pPr>
        <w:pStyle w:val="23"/>
        <w:spacing w:after="0" w:line="600" w:lineRule="exact"/>
        <w:ind w:left="0" w:leftChars="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优化提升工业互联网外网，加快推动5G网络部署，鼓励建设5G、高精度定位等新一代网络基础设施，推动高速专线在规模以上工业企业中普及应用，实现网络新技术向工业互联网领域落地应用。加快企业内网改造升级，推动工业P0N（无源光网络）、工业以太网、工业无线网等新型工业网络在企业的部署，推进企业IPv6规模化应用，提升工业互联网基础设施。建立健全工业互联网平台体系，积极引进落地国内领先双跨工业互联网平台，鼓励面向装备制造、节能环保、绿色建筑建材、绿色食品</w:t>
      </w:r>
      <w:r>
        <w:rPr>
          <w:rFonts w:hint="eastAsia" w:ascii="仿宋_GB2312" w:hAnsi="仿宋_GB2312" w:eastAsia="仿宋_GB2312" w:cs="仿宋_GB2312"/>
          <w:sz w:val="32"/>
          <w:szCs w:val="32"/>
          <w:lang w:val="en-US" w:eastAsia="zh-CN"/>
        </w:rPr>
        <w:t>等</w:t>
      </w:r>
      <w:r>
        <w:rPr>
          <w:rFonts w:hint="eastAsia" w:ascii="仿宋_GB2312" w:hAnsi="仿宋_GB2312" w:eastAsia="仿宋_GB2312" w:cs="仿宋_GB2312"/>
          <w:sz w:val="32"/>
          <w:szCs w:val="32"/>
        </w:rPr>
        <w:t>支柱产业建设行业级工业互联网平台，促进产业链高效协同发展。深化 “5G+工业互联网</w:t>
      </w:r>
      <w:r>
        <w:rPr>
          <w:rFonts w:hint="eastAsia" w:ascii="仿宋_GB2312" w:hAnsi="仿宋_GB2312" w:eastAsia="仿宋_GB2312" w:cs="仿宋_GB2312"/>
          <w:sz w:val="32"/>
          <w:szCs w:val="32"/>
          <w:lang w:val="zh-CN"/>
        </w:rPr>
        <w:t>”融合</w:t>
      </w:r>
      <w:r>
        <w:rPr>
          <w:rFonts w:hint="eastAsia" w:ascii="仿宋_GB2312" w:hAnsi="仿宋_GB2312" w:eastAsia="仿宋_GB2312" w:cs="仿宋_GB2312"/>
          <w:sz w:val="32"/>
          <w:szCs w:val="32"/>
        </w:rPr>
        <w:t>应用，推广基于5G网络的视觉检测、视频监控场景应用，推动5G、IoT在车间、厂区、园区智慧物流场景应用。鼓励人工智能、大数据、VR/AR、边缘计算、数字孪生、区块链等共性技术在设计研发、生产管理、经营管理、供应链管理、质量追溯、维护检修等环节中的创新应用。加快推动工业技术软件化，开发一批面向共性需求、特定应用场景或覆盖核心业务环节的工业APP，推动工业APP向工业互联网平台聚集，促进工业资源共享。</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3753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726A7A88">
            <w:pPr>
              <w:ind w:left="0" w:leftChars="0" w:firstLine="0" w:firstLineChars="0"/>
              <w:jc w:val="center"/>
              <w:rPr>
                <w:rFonts w:hint="eastAsia" w:ascii="仿宋_GB2312" w:hAnsi="仿宋_GB2312" w:eastAsia="仿宋_GB2312"/>
                <w:shd w:val="clear" w:color="auto" w:fill="FFFFFF"/>
                <w:lang w:eastAsia="zh-CN"/>
              </w:rPr>
            </w:pPr>
            <w:r>
              <w:rPr>
                <w:rFonts w:hint="eastAsia" w:ascii="仿宋_GB2312" w:hAnsi="宋体" w:eastAsia="仿宋_GB2312" w:cs="宋体"/>
                <w:b/>
                <w:kern w:val="0"/>
                <w:sz w:val="28"/>
                <w:szCs w:val="28"/>
              </w:rPr>
              <w:t>专栏5-3</w:t>
            </w:r>
            <w:r>
              <w:rPr>
                <w:rFonts w:hint="eastAsia" w:ascii="仿宋_GB2312" w:hAnsi="宋体" w:eastAsia="仿宋_GB2312" w:cs="宋体"/>
                <w:b/>
                <w:kern w:val="0"/>
                <w:sz w:val="28"/>
                <w:szCs w:val="28"/>
                <w:lang w:val="en-US" w:eastAsia="zh-CN"/>
              </w:rPr>
              <w:t xml:space="preserve"> </w:t>
            </w:r>
            <w:r>
              <w:rPr>
                <w:rFonts w:hint="eastAsia" w:ascii="仿宋_GB2312" w:hAnsi="宋体" w:eastAsia="仿宋_GB2312" w:cs="宋体"/>
                <w:b/>
                <w:kern w:val="0"/>
                <w:sz w:val="28"/>
                <w:szCs w:val="28"/>
              </w:rPr>
              <w:t>数字赋能专</w:t>
            </w:r>
            <w:r>
              <w:rPr>
                <w:rFonts w:hint="eastAsia" w:ascii="仿宋_GB2312" w:hAnsi="宋体" w:eastAsia="仿宋_GB2312" w:cs="宋体"/>
                <w:b/>
                <w:kern w:val="0"/>
                <w:sz w:val="28"/>
                <w:szCs w:val="28"/>
                <w:lang w:val="en-US" w:eastAsia="zh-CN"/>
              </w:rPr>
              <w:t>栏</w:t>
            </w:r>
          </w:p>
        </w:tc>
      </w:tr>
      <w:tr w14:paraId="6A3B5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26C6EF25">
            <w:pPr>
              <w:spacing w:line="600" w:lineRule="exact"/>
              <w:ind w:firstLine="562" w:firstLineChars="200"/>
              <w:rPr>
                <w:rFonts w:ascii="仿宋_GB2312" w:eastAsia="仿宋_GB2312" w:cs="Times New Roman"/>
                <w:sz w:val="28"/>
                <w:szCs w:val="28"/>
              </w:rPr>
            </w:pPr>
            <w:r>
              <w:rPr>
                <w:rFonts w:hint="eastAsia" w:ascii="仿宋_GB2312" w:eastAsia="仿宋_GB2312" w:cs="Times New Roman"/>
                <w:b/>
                <w:bCs/>
                <w:sz w:val="28"/>
                <w:szCs w:val="28"/>
              </w:rPr>
              <w:t>开展智能制造专项行动</w:t>
            </w:r>
            <w:r>
              <w:rPr>
                <w:rFonts w:hint="eastAsia" w:ascii="仿宋_GB2312" w:eastAsia="仿宋_GB2312" w:cs="Times New Roman"/>
                <w:b/>
                <w:bCs/>
                <w:sz w:val="28"/>
                <w:szCs w:val="28"/>
                <w:lang w:eastAsia="zh-CN"/>
              </w:rPr>
              <w:t>。</w:t>
            </w:r>
            <w:r>
              <w:rPr>
                <w:rFonts w:hint="eastAsia" w:ascii="仿宋_GB2312" w:eastAsia="仿宋_GB2312" w:cs="Times New Roman"/>
                <w:sz w:val="28"/>
                <w:szCs w:val="28"/>
              </w:rPr>
              <w:t>加强智能装备制造（含工业机器人）在重点行业的规模化应用。</w:t>
            </w:r>
            <w:r>
              <w:rPr>
                <w:rFonts w:hint="eastAsia" w:ascii="仿宋_GB2312" w:eastAsia="仿宋_GB2312" w:cs="Times New Roman"/>
                <w:sz w:val="28"/>
                <w:szCs w:val="28"/>
                <w:lang w:val="en-US" w:eastAsia="zh-CN"/>
              </w:rPr>
              <w:t>到2025年</w:t>
            </w:r>
            <w:r>
              <w:rPr>
                <w:rFonts w:hint="eastAsia" w:ascii="仿宋_GB2312" w:eastAsia="仿宋_GB2312" w:cs="Times New Roman"/>
                <w:sz w:val="28"/>
                <w:szCs w:val="28"/>
              </w:rPr>
              <w:t>，</w:t>
            </w:r>
            <w:r>
              <w:rPr>
                <w:rFonts w:hint="eastAsia" w:ascii="仿宋_GB2312" w:eastAsia="仿宋_GB2312" w:cs="Times New Roman"/>
                <w:sz w:val="28"/>
                <w:szCs w:val="28"/>
                <w:lang w:val="en-US" w:eastAsia="zh-CN"/>
              </w:rPr>
              <w:t>力争全市</w:t>
            </w:r>
            <w:r>
              <w:rPr>
                <w:rFonts w:hint="eastAsia" w:ascii="仿宋_GB2312" w:eastAsia="仿宋_GB2312" w:cs="Times New Roman"/>
                <w:sz w:val="28"/>
                <w:szCs w:val="28"/>
              </w:rPr>
              <w:t>省级智能工厂和数字化车间</w:t>
            </w:r>
            <w:r>
              <w:rPr>
                <w:rFonts w:hint="eastAsia" w:ascii="仿宋_GB2312" w:eastAsia="仿宋_GB2312" w:cs="Times New Roman"/>
                <w:sz w:val="28"/>
                <w:szCs w:val="28"/>
                <w:lang w:val="en-US" w:eastAsia="zh-CN"/>
              </w:rPr>
              <w:t>达到50</w:t>
            </w:r>
            <w:r>
              <w:rPr>
                <w:rFonts w:hint="eastAsia" w:ascii="仿宋_GB2312" w:eastAsia="仿宋_GB2312" w:cs="Times New Roman"/>
                <w:sz w:val="28"/>
                <w:szCs w:val="28"/>
              </w:rPr>
              <w:t>个</w:t>
            </w:r>
            <w:r>
              <w:rPr>
                <w:rFonts w:hint="eastAsia" w:ascii="仿宋_GB2312" w:eastAsia="仿宋_GB2312" w:cs="Times New Roman"/>
                <w:sz w:val="28"/>
                <w:szCs w:val="28"/>
                <w:lang w:val="en-US" w:eastAsia="zh-CN"/>
              </w:rPr>
              <w:t>以上</w:t>
            </w:r>
            <w:r>
              <w:rPr>
                <w:rFonts w:hint="eastAsia" w:ascii="仿宋_GB2312" w:eastAsia="仿宋_GB2312" w:cs="Times New Roman"/>
                <w:sz w:val="28"/>
                <w:szCs w:val="28"/>
              </w:rPr>
              <w:t>。</w:t>
            </w:r>
          </w:p>
          <w:p w14:paraId="5D91F3F3">
            <w:pPr>
              <w:spacing w:line="600" w:lineRule="exact"/>
              <w:ind w:firstLine="562" w:firstLineChars="200"/>
              <w:rPr>
                <w:rFonts w:ascii="仿宋_GB2312" w:eastAsia="仿宋_GB2312" w:cs="Times New Roman"/>
                <w:sz w:val="28"/>
                <w:szCs w:val="28"/>
              </w:rPr>
            </w:pPr>
            <w:r>
              <w:rPr>
                <w:rFonts w:hint="eastAsia" w:ascii="仿宋_GB2312" w:eastAsia="仿宋_GB2312" w:cs="Times New Roman"/>
                <w:b/>
                <w:bCs/>
                <w:sz w:val="28"/>
                <w:szCs w:val="28"/>
              </w:rPr>
              <w:t>开展企业上云提质扩面行动。</w:t>
            </w:r>
            <w:r>
              <w:rPr>
                <w:rFonts w:hint="eastAsia" w:ascii="仿宋_GB2312" w:eastAsia="仿宋_GB2312" w:cs="Times New Roman"/>
                <w:sz w:val="28"/>
                <w:szCs w:val="28"/>
              </w:rPr>
              <w:t>开展企业上云水平评估认定，遴选企业上云优秀案例，组织举办企业上云推介会。“十四五”期间，力争实现超千家工业企业上云。</w:t>
            </w:r>
          </w:p>
          <w:p w14:paraId="49DF7E8B">
            <w:pPr>
              <w:spacing w:line="600" w:lineRule="exact"/>
              <w:ind w:firstLine="562" w:firstLineChars="200"/>
              <w:rPr>
                <w:rFonts w:ascii="仿宋_GB2312" w:eastAsia="仿宋_GB2312" w:cs="Times New Roman"/>
                <w:sz w:val="28"/>
                <w:szCs w:val="28"/>
              </w:rPr>
            </w:pPr>
            <w:r>
              <w:rPr>
                <w:rFonts w:hint="eastAsia" w:ascii="仿宋_GB2312" w:eastAsia="仿宋_GB2312" w:cs="Times New Roman"/>
                <w:b/>
                <w:bCs/>
                <w:sz w:val="28"/>
                <w:szCs w:val="28"/>
              </w:rPr>
              <w:t>培育数字化应用示范。</w:t>
            </w:r>
            <w:r>
              <w:rPr>
                <w:rFonts w:hint="eastAsia" w:ascii="仿宋_GB2312" w:eastAsia="仿宋_GB2312" w:cs="Times New Roman"/>
                <w:sz w:val="28"/>
                <w:szCs w:val="28"/>
              </w:rPr>
              <w:t>分行业、分区域、分企业加大数字化网络化智能化改造力度，提升企业数字化转型基础能力。遴选数字化应用试点企业，推进可视化管理模式普及，开展动态市场响应、资源配置优化等新模式应用探索，打造数据驱动、敏捷高效的经营管理体系。</w:t>
            </w:r>
          </w:p>
          <w:p w14:paraId="74F44DB7">
            <w:pPr>
              <w:spacing w:line="600" w:lineRule="exact"/>
              <w:ind w:firstLine="562" w:firstLineChars="200"/>
              <w:rPr>
                <w:rFonts w:hint="default" w:eastAsia="仿宋_GB2312"/>
                <w:lang w:val="en-US" w:eastAsia="zh-CN"/>
              </w:rPr>
            </w:pPr>
            <w:r>
              <w:rPr>
                <w:rFonts w:hint="eastAsia" w:ascii="仿宋_GB2312" w:eastAsia="仿宋_GB2312" w:cs="Times New Roman"/>
                <w:b/>
                <w:bCs/>
                <w:sz w:val="28"/>
                <w:szCs w:val="28"/>
              </w:rPr>
              <w:t>开展工业互联网新模式推广。</w:t>
            </w:r>
            <w:r>
              <w:rPr>
                <w:rFonts w:hint="eastAsia" w:ascii="仿宋_GB2312" w:eastAsia="仿宋_GB2312" w:cs="Times New Roman"/>
                <w:sz w:val="28"/>
                <w:szCs w:val="28"/>
              </w:rPr>
              <w:t>围绕智能化制造、网络化协同、个性化定制、服务化延伸、数字化管理等新模式遴选工业互联网应用标杆，组织开展工业互联网新模式应用宣贯与培训。引导和支持建立线上线下结合的新模式应用体验中心。</w:t>
            </w:r>
            <w:r>
              <w:rPr>
                <w:rFonts w:hint="eastAsia" w:ascii="仿宋_GB2312" w:eastAsia="仿宋_GB2312" w:cs="Times New Roman"/>
                <w:sz w:val="28"/>
                <w:szCs w:val="28"/>
                <w:lang w:val="en-US" w:eastAsia="zh-CN"/>
              </w:rPr>
              <w:t>到2025年，引进1-2家双跨工业互联网平台。</w:t>
            </w:r>
          </w:p>
        </w:tc>
      </w:tr>
      <w:bookmarkEnd w:id="319"/>
    </w:tbl>
    <w:p w14:paraId="3650F243">
      <w:pPr>
        <w:ind w:firstLine="643" w:firstLineChars="200"/>
        <w:outlineLvl w:val="1"/>
        <w:rPr>
          <w:rFonts w:hint="eastAsia" w:ascii="楷体_GB2312" w:hAnsi="楷体_GB2312" w:eastAsia="楷体_GB2312" w:cs="楷体_GB2312"/>
          <w:b/>
          <w:bCs/>
          <w:sz w:val="32"/>
          <w:szCs w:val="32"/>
          <w:lang w:val="en-US" w:eastAsia="zh-CN"/>
        </w:rPr>
      </w:pPr>
      <w:bookmarkStart w:id="332" w:name="_Toc27633"/>
      <w:bookmarkStart w:id="333" w:name="_Toc14105"/>
      <w:bookmarkStart w:id="334" w:name="_Toc28397"/>
      <w:bookmarkStart w:id="335" w:name="_Toc31787"/>
      <w:bookmarkStart w:id="336" w:name="_Toc15341"/>
      <w:bookmarkStart w:id="337" w:name="_Toc15354"/>
      <w:bookmarkStart w:id="338" w:name="_Toc21061"/>
      <w:bookmarkStart w:id="339" w:name="_Toc14342"/>
      <w:bookmarkStart w:id="340" w:name="_Toc2637"/>
      <w:bookmarkStart w:id="341" w:name="_Toc4850"/>
      <w:bookmarkStart w:id="342" w:name="_Toc17362"/>
      <w:bookmarkStart w:id="343" w:name="_Toc17136"/>
      <w:bookmarkStart w:id="344" w:name="_Toc10828"/>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四</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绿色低碳制造工程</w:t>
      </w:r>
      <w:bookmarkEnd w:id="332"/>
      <w:bookmarkEnd w:id="333"/>
      <w:bookmarkEnd w:id="334"/>
      <w:bookmarkEnd w:id="335"/>
      <w:bookmarkEnd w:id="336"/>
      <w:bookmarkEnd w:id="337"/>
      <w:bookmarkEnd w:id="338"/>
      <w:bookmarkEnd w:id="339"/>
      <w:bookmarkEnd w:id="340"/>
    </w:p>
    <w:p w14:paraId="6C3BDAF4">
      <w:pPr>
        <w:widowControl w:val="0"/>
        <w:spacing w:after="0" w:line="580" w:lineRule="exact"/>
        <w:ind w:firstLine="640" w:firstLineChars="200"/>
        <w:jc w:val="both"/>
        <w:rPr>
          <w:rFonts w:hint="eastAsia" w:ascii="仿宋_GB2312" w:eastAsia="仿宋_GB2312"/>
          <w:color w:val="000000"/>
          <w:sz w:val="32"/>
          <w:szCs w:val="32"/>
        </w:rPr>
      </w:pPr>
      <w:r>
        <w:rPr>
          <w:rFonts w:hint="eastAsia" w:ascii="仿宋_GB2312" w:eastAsia="仿宋_GB2312"/>
          <w:color w:val="000000"/>
          <w:sz w:val="32"/>
          <w:szCs w:val="32"/>
        </w:rPr>
        <w:t>聚焦碳达峰碳中和目标导向，以绿色</w:t>
      </w:r>
      <w:r>
        <w:rPr>
          <w:rFonts w:hint="eastAsia" w:ascii="仿宋_GB2312" w:eastAsia="仿宋_GB2312"/>
          <w:color w:val="000000"/>
          <w:sz w:val="32"/>
          <w:szCs w:val="32"/>
          <w:lang w:val="en-US" w:eastAsia="zh-CN"/>
        </w:rPr>
        <w:t>低碳</w:t>
      </w:r>
      <w:r>
        <w:rPr>
          <w:rFonts w:hint="eastAsia" w:ascii="仿宋_GB2312" w:eastAsia="仿宋_GB2312"/>
          <w:color w:val="000000"/>
          <w:sz w:val="32"/>
          <w:szCs w:val="32"/>
        </w:rPr>
        <w:t>发展为主线，推进</w:t>
      </w:r>
      <w:r>
        <w:rPr>
          <w:rFonts w:hint="eastAsia" w:ascii="仿宋_GB2312" w:eastAsia="仿宋_GB2312"/>
          <w:color w:val="000000"/>
          <w:sz w:val="32"/>
          <w:szCs w:val="32"/>
          <w:lang w:val="en-US" w:eastAsia="zh-CN"/>
        </w:rPr>
        <w:t>工业</w:t>
      </w:r>
      <w:r>
        <w:rPr>
          <w:rFonts w:hint="eastAsia" w:ascii="仿宋_GB2312" w:eastAsia="仿宋_GB2312"/>
          <w:color w:val="000000"/>
          <w:sz w:val="32"/>
          <w:szCs w:val="32"/>
        </w:rPr>
        <w:t>绿色制造体系建设，促进绿色生产方式转型提升。</w:t>
      </w:r>
    </w:p>
    <w:p w14:paraId="36092738">
      <w:pPr>
        <w:spacing w:line="600" w:lineRule="exact"/>
        <w:ind w:firstLine="643"/>
        <w:outlineLvl w:val="2"/>
        <w:rPr>
          <w:rFonts w:hint="eastAsia" w:ascii="仿宋_GB2312" w:hAnsi="仿宋_GB2312" w:eastAsia="仿宋_GB2312" w:cs="仿宋_GB2312"/>
          <w:b/>
          <w:kern w:val="0"/>
          <w:sz w:val="32"/>
          <w:szCs w:val="32"/>
        </w:rPr>
      </w:pPr>
      <w:r>
        <w:rPr>
          <w:rFonts w:hint="eastAsia" w:ascii="仿宋_GB2312" w:hAnsi="仿宋_GB2312" w:eastAsia="仿宋_GB2312" w:cs="仿宋_GB2312"/>
          <w:b/>
          <w:color w:val="000000"/>
          <w:sz w:val="32"/>
          <w:szCs w:val="32"/>
          <w:lang w:val="en-US" w:eastAsia="zh-CN"/>
        </w:rPr>
        <w:t>1.</w:t>
      </w:r>
      <w:r>
        <w:rPr>
          <w:rFonts w:hint="eastAsia" w:ascii="仿宋_GB2312" w:eastAsia="仿宋_GB2312"/>
          <w:b/>
          <w:color w:val="000000"/>
          <w:sz w:val="32"/>
          <w:szCs w:val="32"/>
        </w:rPr>
        <w:t>推进绿色制造体系建设</w:t>
      </w:r>
    </w:p>
    <w:p w14:paraId="64B2EF08">
      <w:pPr>
        <w:widowControl w:val="0"/>
        <w:spacing w:after="0" w:line="580" w:lineRule="exact"/>
        <w:ind w:firstLine="640" w:firstLineChars="200"/>
        <w:jc w:val="both"/>
        <w:rPr>
          <w:rFonts w:hint="eastAsia" w:ascii="仿宋_GB2312" w:hAnsi="仿宋_GB2312" w:eastAsia="仿宋_GB2312" w:cs="仿宋_GB2312"/>
          <w:sz w:val="32"/>
          <w:szCs w:val="32"/>
        </w:rPr>
      </w:pPr>
      <w:r>
        <w:rPr>
          <w:rFonts w:hint="eastAsia" w:ascii="Times New Roman" w:hAnsi="Times New Roman" w:eastAsia="仿宋_GB2312" w:cs="Times New Roman"/>
          <w:sz w:val="32"/>
          <w:szCs w:val="22"/>
        </w:rPr>
        <w:t>加快实施绿色化技术改造，推动企业实施一批用地集约化、生产清洁化、废物资源化、能源低碳化项目，着力打造一批</w:t>
      </w:r>
      <w:r>
        <w:rPr>
          <w:rFonts w:hint="eastAsia" w:ascii="Times New Roman" w:hAnsi="Times New Roman" w:eastAsia="仿宋_GB2312" w:cs="Times New Roman"/>
          <w:sz w:val="32"/>
          <w:szCs w:val="22"/>
          <w:lang w:val="en-US" w:eastAsia="zh-CN"/>
        </w:rPr>
        <w:t>绿色产品、</w:t>
      </w:r>
      <w:r>
        <w:rPr>
          <w:rFonts w:hint="eastAsia" w:ascii="Times New Roman" w:hAnsi="Times New Roman" w:eastAsia="仿宋_GB2312" w:cs="Times New Roman"/>
          <w:sz w:val="32"/>
          <w:szCs w:val="22"/>
        </w:rPr>
        <w:t>绿色工厂、绿色园区和绿色供应链管理企业。持续推进开展节水型企业创建，树立一批节水标杆企业。推深做细工业领域节能环保“五个一百”提升行动，深挖我市具有市场推广潜力的节能环保装备产品并推广到工业、农业、城建、商务流通等各行业。</w:t>
      </w:r>
    </w:p>
    <w:p w14:paraId="0C1A66C0">
      <w:pPr>
        <w:spacing w:line="600" w:lineRule="exact"/>
        <w:ind w:firstLine="643"/>
        <w:outlineLvl w:val="2"/>
        <w:rPr>
          <w:rFonts w:hint="eastAsia"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2.推进资源综合利用和清洁生产改造</w:t>
      </w:r>
    </w:p>
    <w:p w14:paraId="31F5DF51">
      <w:pPr>
        <w:ind w:firstLine="640"/>
        <w:rPr>
          <w:rFonts w:hint="eastAsia" w:eastAsia="仿宋_GB2312"/>
          <w:sz w:val="32"/>
          <w:szCs w:val="32"/>
          <w:lang w:eastAsia="zh-CN"/>
        </w:rPr>
      </w:pPr>
      <w:r>
        <w:rPr>
          <w:rFonts w:hint="eastAsia" w:eastAsia="仿宋_GB2312"/>
          <w:sz w:val="32"/>
          <w:szCs w:val="32"/>
        </w:rPr>
        <w:t>重点依托界首国家级资源</w:t>
      </w:r>
      <w:r>
        <w:rPr>
          <w:rFonts w:hint="eastAsia" w:eastAsia="仿宋_GB2312"/>
          <w:sz w:val="32"/>
          <w:szCs w:val="32"/>
          <w:lang w:val="en-US" w:eastAsia="zh-CN"/>
        </w:rPr>
        <w:t>循环利用</w:t>
      </w:r>
      <w:r>
        <w:rPr>
          <w:rFonts w:hint="eastAsia" w:eastAsia="仿宋_GB2312"/>
          <w:sz w:val="32"/>
          <w:szCs w:val="32"/>
        </w:rPr>
        <w:t>基地，推进资源循环利用重点项目建设、技术装备开发应用及推广，</w:t>
      </w:r>
      <w:r>
        <w:rPr>
          <w:rFonts w:hint="eastAsia" w:eastAsia="仿宋_GB2312"/>
          <w:sz w:val="32"/>
          <w:szCs w:val="32"/>
          <w:lang w:val="en-US" w:eastAsia="zh-CN"/>
        </w:rPr>
        <w:t>开展零碳、零污、零废城市试点。</w:t>
      </w:r>
      <w:r>
        <w:rPr>
          <w:rFonts w:hint="eastAsia" w:eastAsia="仿宋_GB2312"/>
          <w:sz w:val="32"/>
          <w:szCs w:val="32"/>
        </w:rPr>
        <w:t>加大以清洁生产为重点的技术改造力度，鼓励企业实施产品绿色设计、材料优化管理及生产全过程控制。加大节能产品推广和节能技术研发应用</w:t>
      </w:r>
      <w:r>
        <w:rPr>
          <w:rFonts w:hint="eastAsia" w:eastAsia="仿宋_GB2312"/>
          <w:sz w:val="32"/>
          <w:szCs w:val="32"/>
          <w:lang w:eastAsia="zh-CN"/>
        </w:rPr>
        <w:t>，</w:t>
      </w:r>
      <w:r>
        <w:rPr>
          <w:rFonts w:hint="eastAsia" w:eastAsia="仿宋_GB2312"/>
          <w:sz w:val="32"/>
          <w:szCs w:val="32"/>
          <w:lang w:val="en-US" w:eastAsia="zh-CN"/>
        </w:rPr>
        <w:t>引导企业积极</w:t>
      </w:r>
      <w:r>
        <w:rPr>
          <w:rFonts w:hint="eastAsia" w:eastAsia="仿宋_GB2312"/>
          <w:sz w:val="32"/>
          <w:szCs w:val="32"/>
        </w:rPr>
        <w:t>开展工业节能技术装备、节水技术装备和工业资源综合利用先进适用工艺技术设备目录申报</w:t>
      </w:r>
      <w:r>
        <w:rPr>
          <w:rFonts w:hint="eastAsia" w:eastAsia="仿宋_GB2312"/>
          <w:sz w:val="32"/>
          <w:szCs w:val="32"/>
          <w:lang w:eastAsia="zh-CN"/>
        </w:rPr>
        <w:t>。</w:t>
      </w:r>
    </w:p>
    <w:p w14:paraId="0BAC233B">
      <w:pPr>
        <w:spacing w:line="600" w:lineRule="exact"/>
        <w:ind w:firstLine="643"/>
        <w:outlineLvl w:val="2"/>
        <w:rPr>
          <w:rFonts w:hint="eastAsia"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3.强化绿色</w:t>
      </w:r>
      <w:r>
        <w:rPr>
          <w:rFonts w:hint="eastAsia" w:ascii="仿宋_GB2312" w:hAnsi="仿宋_GB2312" w:eastAsia="仿宋_GB2312" w:cs="仿宋_GB2312"/>
          <w:b/>
          <w:kern w:val="0"/>
          <w:sz w:val="32"/>
          <w:szCs w:val="32"/>
          <w:lang w:val="en-US" w:eastAsia="zh-CN"/>
        </w:rPr>
        <w:t>低碳</w:t>
      </w:r>
      <w:r>
        <w:rPr>
          <w:rFonts w:hint="eastAsia" w:ascii="仿宋_GB2312" w:hAnsi="仿宋_GB2312" w:eastAsia="仿宋_GB2312" w:cs="仿宋_GB2312"/>
          <w:b/>
          <w:kern w:val="0"/>
          <w:sz w:val="32"/>
          <w:szCs w:val="32"/>
        </w:rPr>
        <w:t>支撑保障</w:t>
      </w:r>
    </w:p>
    <w:p w14:paraId="56645CA1">
      <w:pPr>
        <w:ind w:firstLine="640"/>
        <w:rPr>
          <w:rFonts w:hint="eastAsia" w:eastAsia="仿宋_GB2312"/>
          <w:sz w:val="32"/>
          <w:szCs w:val="32"/>
        </w:rPr>
      </w:pPr>
      <w:r>
        <w:rPr>
          <w:rFonts w:hint="eastAsia" w:eastAsia="仿宋_GB2312"/>
          <w:sz w:val="32"/>
          <w:szCs w:val="32"/>
        </w:rPr>
        <w:t>严格产业准入标准，研究制定符合产业集聚、土地利用和产出、能源消耗、环境功能区等严格的项目准入标准</w:t>
      </w:r>
      <w:r>
        <w:rPr>
          <w:rFonts w:hint="eastAsia" w:eastAsia="仿宋_GB2312"/>
          <w:sz w:val="32"/>
          <w:szCs w:val="32"/>
          <w:lang w:eastAsia="zh-CN"/>
        </w:rPr>
        <w:t>，</w:t>
      </w:r>
      <w:r>
        <w:rPr>
          <w:rFonts w:hint="eastAsia" w:eastAsia="仿宋_GB2312"/>
          <w:sz w:val="32"/>
          <w:szCs w:val="32"/>
        </w:rPr>
        <w:t>建立项目环评审批与规划环评、区域环境质量评估联动机制</w:t>
      </w:r>
      <w:r>
        <w:rPr>
          <w:rFonts w:hint="eastAsia" w:eastAsia="仿宋_GB2312"/>
          <w:sz w:val="32"/>
          <w:szCs w:val="32"/>
          <w:lang w:eastAsia="zh-CN"/>
        </w:rPr>
        <w:t>。</w:t>
      </w:r>
      <w:r>
        <w:rPr>
          <w:rFonts w:hint="eastAsia" w:eastAsia="仿宋_GB2312"/>
          <w:sz w:val="32"/>
          <w:szCs w:val="32"/>
        </w:rPr>
        <w:t>促进资源节约集约</w:t>
      </w:r>
      <w:r>
        <w:rPr>
          <w:rFonts w:hint="eastAsia" w:eastAsia="仿宋_GB2312"/>
          <w:sz w:val="32"/>
          <w:szCs w:val="32"/>
          <w:lang w:eastAsia="zh-CN"/>
        </w:rPr>
        <w:t>，</w:t>
      </w:r>
      <w:r>
        <w:rPr>
          <w:rFonts w:hint="eastAsia" w:eastAsia="仿宋_GB2312"/>
          <w:sz w:val="32"/>
          <w:szCs w:val="32"/>
        </w:rPr>
        <w:t>鼓励</w:t>
      </w:r>
      <w:r>
        <w:rPr>
          <w:rFonts w:hint="eastAsia" w:eastAsia="仿宋_GB2312"/>
          <w:sz w:val="32"/>
          <w:szCs w:val="32"/>
          <w:lang w:val="en-US" w:eastAsia="zh-CN"/>
        </w:rPr>
        <w:t>工业</w:t>
      </w:r>
      <w:r>
        <w:rPr>
          <w:rFonts w:hint="eastAsia" w:eastAsia="仿宋_GB2312"/>
          <w:sz w:val="32"/>
          <w:szCs w:val="32"/>
        </w:rPr>
        <w:t>集聚区加大土地资源清理整合力度，采取挂钩折算方式处置批而未供和闲置土地，积极盘活存量建设用地，通过整体规划、分期实施、小块起步、滚动发展大力推进节约集约用地。建设低碳循环集聚区</w:t>
      </w:r>
      <w:r>
        <w:rPr>
          <w:rFonts w:hint="eastAsia" w:eastAsia="仿宋_GB2312"/>
          <w:sz w:val="32"/>
          <w:szCs w:val="32"/>
          <w:lang w:eastAsia="zh-CN"/>
        </w:rPr>
        <w:t>，</w:t>
      </w:r>
      <w:r>
        <w:rPr>
          <w:rFonts w:hint="eastAsia" w:eastAsia="仿宋_GB2312"/>
          <w:sz w:val="32"/>
          <w:szCs w:val="32"/>
        </w:rPr>
        <w:t>以阜合现代产业园区（阜阳经开区）、太和经济开发区、阜阳界首高新技术产业开发区等产业园区为重点，抓好产业园区污染集中治理，落实集聚区大气污染防治差别化管理措施，加大帮扶指导力度，确保污染物实现达标排放。构筑循环经济产业体系，主动承接再生资源加工利用产业，充分利用废物交换，建立资源在不同企业间循环利用通道，构筑企业小循环、园区大循环的物质循环及产业共生模式。</w:t>
      </w:r>
    </w:p>
    <w:p w14:paraId="1AE8D7AE">
      <w:pPr>
        <w:pStyle w:val="2"/>
        <w:rPr>
          <w:rFonts w:hint="eastAsia"/>
        </w:rPr>
      </w:pP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1D51B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48D5B2F7">
            <w:pPr>
              <w:spacing w:line="600" w:lineRule="exact"/>
              <w:ind w:left="0" w:leftChars="0" w:firstLine="0" w:firstLineChars="0"/>
              <w:jc w:val="center"/>
              <w:rPr>
                <w:rFonts w:hint="default" w:ascii="仿宋_GB2312" w:hAnsi="仿宋_GB2312" w:eastAsia="仿宋_GB2312"/>
                <w:shd w:val="clear" w:color="auto" w:fill="FFFFFF"/>
                <w:lang w:val="en-US" w:eastAsia="zh-CN"/>
              </w:rPr>
            </w:pPr>
            <w:r>
              <w:rPr>
                <w:rFonts w:hint="eastAsia" w:ascii="仿宋_GB2312" w:hAnsi="仿宋_GB2312" w:eastAsia="仿宋_GB2312" w:cs="仿宋_GB2312"/>
                <w:b/>
                <w:kern w:val="0"/>
                <w:sz w:val="28"/>
                <w:szCs w:val="28"/>
              </w:rPr>
              <w:t>专栏5-</w:t>
            </w:r>
            <w:r>
              <w:rPr>
                <w:rFonts w:hint="eastAsia" w:ascii="仿宋_GB2312" w:hAnsi="仿宋_GB2312" w:eastAsia="仿宋_GB2312" w:cs="仿宋_GB2312"/>
                <w:b/>
                <w:kern w:val="0"/>
                <w:sz w:val="28"/>
                <w:szCs w:val="28"/>
                <w:lang w:val="en-US" w:eastAsia="zh-CN"/>
              </w:rPr>
              <w:t>4 工业绿色低碳发展专栏</w:t>
            </w:r>
          </w:p>
        </w:tc>
      </w:tr>
      <w:tr w14:paraId="19665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722B550B">
            <w:pPr>
              <w:widowControl/>
              <w:shd w:val="clear" w:color="auto" w:fill="FFFFFF"/>
              <w:spacing w:line="600" w:lineRule="exact"/>
              <w:ind w:firstLine="562" w:firstLineChars="200"/>
              <w:jc w:val="both"/>
              <w:rPr>
                <w:rFonts w:cs="Times New Roman" w:asciiTheme="minorHAnsi" w:hAnsiTheme="minorHAnsi" w:eastAsiaTheme="minorEastAsia"/>
                <w:kern w:val="0"/>
                <w:sz w:val="24"/>
                <w:szCs w:val="24"/>
                <w:lang w:val="en-US" w:eastAsia="zh-CN" w:bidi="ar-SA"/>
              </w:rPr>
            </w:pPr>
            <w:r>
              <w:rPr>
                <w:rFonts w:hint="eastAsia" w:ascii="仿宋_GB2312" w:eastAsia="仿宋_GB2312" w:cs="Times New Roman"/>
                <w:b/>
                <w:bCs/>
                <w:sz w:val="28"/>
                <w:szCs w:val="28"/>
                <w:highlight w:val="none"/>
              </w:rPr>
              <w:t>围绕碳达峰、碳中和，加快构建绿色制造体系。加快绿色工厂创建。</w:t>
            </w:r>
            <w:r>
              <w:rPr>
                <w:rFonts w:hint="eastAsia" w:ascii="仿宋_GB2312" w:eastAsia="仿宋_GB2312" w:cs="Times New Roman"/>
                <w:sz w:val="28"/>
                <w:szCs w:val="28"/>
                <w:highlight w:val="none"/>
              </w:rPr>
              <w:t>鼓励新材料、纺织服装、绿色食品等领域的企业通过采用绿色建筑技术建设改造厂房，预留可再生能源应用场所和设计负荷，合理布局厂区内能量流、物质流路径，推广绿色设计和绿色采购，开发生产绿色产品，采用先进适用的清洁生产工艺技术和高效末端治理装备，淘汰落后设备，建立资源回收循环利用机制，推动用能结构优化，实现工厂的绿色发展，</w:t>
            </w:r>
            <w:r>
              <w:rPr>
                <w:rFonts w:hint="eastAsia" w:ascii="仿宋_GB2312" w:eastAsia="仿宋_GB2312" w:cs="Times New Roman"/>
                <w:sz w:val="28"/>
                <w:szCs w:val="28"/>
                <w:highlight w:val="none"/>
                <w:lang w:val="en-US" w:eastAsia="zh-CN"/>
              </w:rPr>
              <w:t>到2025年，</w:t>
            </w:r>
            <w:r>
              <w:rPr>
                <w:rFonts w:hint="eastAsia" w:ascii="仿宋_GB2312" w:eastAsia="仿宋_GB2312" w:cs="Times New Roman"/>
                <w:sz w:val="28"/>
                <w:szCs w:val="28"/>
                <w:highlight w:val="none"/>
              </w:rPr>
              <w:t>力争培育15家</w:t>
            </w:r>
            <w:r>
              <w:rPr>
                <w:rFonts w:hint="eastAsia" w:ascii="仿宋_GB2312" w:eastAsia="仿宋_GB2312" w:cs="Times New Roman"/>
                <w:sz w:val="28"/>
                <w:szCs w:val="28"/>
                <w:highlight w:val="none"/>
                <w:lang w:val="en-US" w:eastAsia="zh-CN"/>
              </w:rPr>
              <w:t>省级</w:t>
            </w:r>
            <w:r>
              <w:rPr>
                <w:rFonts w:hint="eastAsia" w:ascii="仿宋_GB2312" w:eastAsia="仿宋_GB2312" w:cs="Times New Roman"/>
                <w:sz w:val="28"/>
                <w:szCs w:val="28"/>
                <w:highlight w:val="none"/>
              </w:rPr>
              <w:t>绿色工厂。</w:t>
            </w:r>
            <w:r>
              <w:rPr>
                <w:rFonts w:hint="eastAsia" w:ascii="仿宋_GB2312" w:eastAsia="仿宋_GB2312" w:cs="Times New Roman"/>
                <w:b/>
                <w:bCs/>
                <w:sz w:val="28"/>
                <w:szCs w:val="28"/>
                <w:highlight w:val="none"/>
              </w:rPr>
              <w:t>提升制造业绿色供给能力。</w:t>
            </w:r>
            <w:r>
              <w:rPr>
                <w:rFonts w:hint="eastAsia" w:ascii="仿宋_GB2312" w:eastAsia="仿宋_GB2312" w:cs="Times New Roman"/>
                <w:sz w:val="28"/>
                <w:szCs w:val="28"/>
                <w:highlight w:val="none"/>
              </w:rPr>
              <w:t>实施绿色供应链管理模式，积极推进互联网等信息技术与制造业的协同融合，大力发展智能制造，充分发挥信息技术在要素创新方面的作用，提升资源利用效率及供应链绿色化水平，重点支持装备制造、新能源汽车等领域的企业构建数据支撑、网络共享、智能协作的绿色供应链，到2025年培育</w:t>
            </w:r>
            <w:r>
              <w:rPr>
                <w:rFonts w:hint="eastAsia" w:ascii="仿宋_GB2312" w:eastAsia="仿宋_GB2312" w:cs="Times New Roman"/>
                <w:sz w:val="28"/>
                <w:szCs w:val="28"/>
                <w:highlight w:val="none"/>
                <w:lang w:val="en-US" w:eastAsia="zh-CN"/>
              </w:rPr>
              <w:t>5</w:t>
            </w:r>
            <w:r>
              <w:rPr>
                <w:rFonts w:hint="eastAsia" w:ascii="仿宋_GB2312" w:eastAsia="仿宋_GB2312" w:cs="Times New Roman"/>
                <w:sz w:val="28"/>
                <w:szCs w:val="28"/>
                <w:highlight w:val="none"/>
              </w:rPr>
              <w:t>家绿色供应链企业。</w:t>
            </w:r>
            <w:r>
              <w:rPr>
                <w:rFonts w:hint="eastAsia" w:ascii="仿宋_GB2312" w:eastAsia="仿宋_GB2312" w:cs="Times New Roman"/>
                <w:b/>
                <w:bCs/>
                <w:sz w:val="28"/>
                <w:szCs w:val="28"/>
                <w:highlight w:val="none"/>
              </w:rPr>
              <w:t>积极开发绿色产品。</w:t>
            </w:r>
            <w:r>
              <w:rPr>
                <w:rFonts w:hint="eastAsia" w:ascii="仿宋_GB2312" w:eastAsia="仿宋_GB2312" w:cs="Times New Roman"/>
                <w:sz w:val="28"/>
                <w:szCs w:val="28"/>
                <w:highlight w:val="none"/>
              </w:rPr>
              <w:t>支持企业推行生态设计，提升产品节能环保低碳水平，引导绿色生产和绿色消费，重点推进新材料、绿色建筑建材等产业低碳化发展。发挥煤基新材料的固有优势，生产适合煤基新材料特点的产品，重点发展低碳排放的煤制醇类、酸类等含氧化合物，推动我市新材料领域实现高质量发展。大力推进既有建筑改造使用节能玻璃、发电玻璃、储能等绿色材料</w:t>
            </w:r>
            <w:r>
              <w:rPr>
                <w:rFonts w:hint="eastAsia" w:ascii="仿宋_GB2312" w:eastAsia="仿宋_GB2312" w:cs="Times New Roman"/>
                <w:sz w:val="28"/>
                <w:szCs w:val="28"/>
                <w:highlight w:val="none"/>
                <w:lang w:eastAsia="zh-CN"/>
              </w:rPr>
              <w:t>。</w:t>
            </w:r>
            <w:r>
              <w:rPr>
                <w:rFonts w:hint="eastAsia" w:ascii="仿宋_GB2312" w:eastAsia="仿宋_GB2312" w:cs="Times New Roman"/>
                <w:sz w:val="28"/>
                <w:szCs w:val="28"/>
                <w:highlight w:val="none"/>
              </w:rPr>
              <w:t>到2025年，全市</w:t>
            </w:r>
            <w:r>
              <w:rPr>
                <w:rFonts w:hint="eastAsia" w:ascii="仿宋_GB2312" w:eastAsia="仿宋_GB2312" w:cs="Times New Roman"/>
                <w:sz w:val="28"/>
                <w:szCs w:val="28"/>
                <w:highlight w:val="none"/>
                <w:lang w:val="en-US" w:eastAsia="zh-CN"/>
              </w:rPr>
              <w:t>国家级</w:t>
            </w:r>
            <w:r>
              <w:rPr>
                <w:rFonts w:hint="eastAsia" w:ascii="仿宋_GB2312" w:eastAsia="仿宋_GB2312" w:cs="Times New Roman"/>
                <w:sz w:val="28"/>
                <w:szCs w:val="28"/>
                <w:highlight w:val="none"/>
              </w:rPr>
              <w:t>绿色设计产品累计达到</w:t>
            </w:r>
            <w:r>
              <w:rPr>
                <w:rFonts w:hint="eastAsia" w:ascii="仿宋_GB2312" w:eastAsia="仿宋_GB2312" w:cs="Times New Roman"/>
                <w:sz w:val="28"/>
                <w:szCs w:val="28"/>
                <w:highlight w:val="none"/>
                <w:lang w:val="en-US" w:eastAsia="zh-CN"/>
              </w:rPr>
              <w:t>25</w:t>
            </w:r>
            <w:r>
              <w:rPr>
                <w:rFonts w:hint="eastAsia" w:ascii="仿宋_GB2312" w:eastAsia="仿宋_GB2312" w:cs="Times New Roman"/>
                <w:sz w:val="28"/>
                <w:szCs w:val="28"/>
                <w:highlight w:val="none"/>
              </w:rPr>
              <w:t>项。</w:t>
            </w:r>
            <w:r>
              <w:rPr>
                <w:rFonts w:hint="eastAsia" w:ascii="仿宋_GB2312" w:eastAsia="仿宋_GB2312" w:cs="Times New Roman"/>
                <w:b/>
                <w:bCs/>
                <w:sz w:val="28"/>
                <w:szCs w:val="28"/>
                <w:highlight w:val="none"/>
                <w:lang w:val="en-US" w:eastAsia="zh-CN"/>
              </w:rPr>
              <w:t>积极申报绿色园区</w:t>
            </w:r>
            <w:r>
              <w:rPr>
                <w:rFonts w:hint="eastAsia" w:ascii="仿宋_GB2312" w:eastAsia="仿宋_GB2312" w:cs="Times New Roman"/>
                <w:sz w:val="28"/>
                <w:szCs w:val="28"/>
                <w:highlight w:val="none"/>
                <w:lang w:val="en-US" w:eastAsia="zh-CN"/>
              </w:rPr>
              <w:t>。</w:t>
            </w:r>
            <w:r>
              <w:rPr>
                <w:rFonts w:hint="eastAsia" w:ascii="仿宋_GB2312" w:eastAsia="仿宋_GB2312" w:cs="Times New Roman"/>
                <w:sz w:val="28"/>
                <w:szCs w:val="28"/>
                <w:highlight w:val="none"/>
              </w:rPr>
              <w:t>根据实际</w:t>
            </w:r>
            <w:r>
              <w:rPr>
                <w:rFonts w:hint="eastAsia" w:ascii="仿宋_GB2312" w:eastAsia="仿宋_GB2312" w:cs="Times New Roman"/>
                <w:sz w:val="28"/>
                <w:szCs w:val="28"/>
                <w:highlight w:val="none"/>
                <w:lang w:val="en-US" w:eastAsia="zh-CN"/>
              </w:rPr>
              <w:t>探索</w:t>
            </w:r>
            <w:r>
              <w:rPr>
                <w:rFonts w:hint="eastAsia" w:ascii="仿宋_GB2312" w:eastAsia="仿宋_GB2312" w:cs="Times New Roman"/>
                <w:sz w:val="28"/>
                <w:szCs w:val="28"/>
                <w:highlight w:val="none"/>
              </w:rPr>
              <w:t>制定绿色园区管理办法，将省级以上工业园区全部纳入常态化分级管理，分层次引导企业</w:t>
            </w:r>
            <w:r>
              <w:rPr>
                <w:rFonts w:hint="eastAsia" w:ascii="仿宋_GB2312" w:eastAsia="仿宋_GB2312" w:cs="Times New Roman"/>
                <w:sz w:val="28"/>
                <w:szCs w:val="28"/>
                <w:highlight w:val="none"/>
                <w:lang w:eastAsia="zh-CN"/>
              </w:rPr>
              <w:t>、</w:t>
            </w:r>
            <w:r>
              <w:rPr>
                <w:rFonts w:hint="eastAsia" w:ascii="仿宋_GB2312" w:eastAsia="仿宋_GB2312" w:cs="Times New Roman"/>
                <w:sz w:val="28"/>
                <w:szCs w:val="28"/>
                <w:highlight w:val="none"/>
                <w:lang w:val="en-US" w:eastAsia="zh-CN"/>
              </w:rPr>
              <w:t>园区</w:t>
            </w:r>
            <w:r>
              <w:rPr>
                <w:rFonts w:hint="eastAsia" w:ascii="仿宋_GB2312" w:eastAsia="仿宋_GB2312" w:cs="Times New Roman"/>
                <w:sz w:val="28"/>
                <w:szCs w:val="28"/>
                <w:highlight w:val="none"/>
              </w:rPr>
              <w:t>对标达标，并优先推荐绿色等级高园区申报国家级绿色制造示范。到2025年，全市</w:t>
            </w:r>
            <w:r>
              <w:rPr>
                <w:rFonts w:hint="eastAsia" w:ascii="仿宋_GB2312" w:eastAsia="仿宋_GB2312" w:cs="Times New Roman"/>
                <w:sz w:val="28"/>
                <w:szCs w:val="28"/>
                <w:highlight w:val="none"/>
                <w:lang w:val="en-US" w:eastAsia="zh-CN"/>
              </w:rPr>
              <w:t>新增国家级绿色园区1家。</w:t>
            </w:r>
          </w:p>
        </w:tc>
      </w:tr>
    </w:tbl>
    <w:p w14:paraId="3367DB46">
      <w:pPr>
        <w:ind w:firstLine="643" w:firstLineChars="200"/>
        <w:outlineLvl w:val="1"/>
        <w:rPr>
          <w:rFonts w:ascii="楷体_GB2312" w:hAnsi="楷体_GB2312" w:eastAsia="楷体_GB2312" w:cs="楷体_GB2312"/>
          <w:b/>
          <w:bCs/>
          <w:sz w:val="32"/>
          <w:szCs w:val="32"/>
        </w:rPr>
      </w:pPr>
      <w:bookmarkStart w:id="345" w:name="_Toc5560"/>
      <w:bookmarkStart w:id="346" w:name="_Toc5969"/>
      <w:bookmarkStart w:id="347" w:name="_Toc13994"/>
      <w:bookmarkStart w:id="348" w:name="_Toc12622"/>
      <w:bookmarkStart w:id="349" w:name="_Toc6823"/>
      <w:bookmarkStart w:id="350" w:name="_Toc28877"/>
      <w:bookmarkStart w:id="351" w:name="_Toc18472"/>
      <w:bookmarkStart w:id="352" w:name="_Toc27166"/>
      <w:bookmarkStart w:id="353" w:name="_Toc6202"/>
      <w:bookmarkStart w:id="354" w:name="_Toc16394"/>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五</w:t>
      </w:r>
      <w:r>
        <w:rPr>
          <w:rFonts w:hint="eastAsia" w:ascii="楷体_GB2312" w:hAnsi="楷体_GB2312" w:eastAsia="楷体_GB2312" w:cs="楷体_GB2312"/>
          <w:b/>
          <w:bCs/>
          <w:sz w:val="32"/>
          <w:szCs w:val="32"/>
        </w:rPr>
        <w:t>）开放</w:t>
      </w:r>
      <w:r>
        <w:rPr>
          <w:rFonts w:hint="eastAsia" w:ascii="楷体_GB2312" w:hAnsi="楷体_GB2312" w:eastAsia="楷体_GB2312" w:cs="楷体_GB2312"/>
          <w:b/>
          <w:bCs/>
          <w:sz w:val="32"/>
          <w:szCs w:val="32"/>
          <w:lang w:val="en-US" w:eastAsia="zh-CN"/>
        </w:rPr>
        <w:t>融合</w:t>
      </w:r>
      <w:r>
        <w:rPr>
          <w:rFonts w:hint="eastAsia" w:ascii="楷体_GB2312" w:hAnsi="楷体_GB2312" w:eastAsia="楷体_GB2312" w:cs="楷体_GB2312"/>
          <w:b/>
          <w:bCs/>
          <w:sz w:val="32"/>
          <w:szCs w:val="32"/>
        </w:rPr>
        <w:t>发展工程</w:t>
      </w:r>
      <w:bookmarkEnd w:id="345"/>
      <w:bookmarkEnd w:id="346"/>
      <w:bookmarkEnd w:id="347"/>
      <w:bookmarkEnd w:id="348"/>
      <w:bookmarkEnd w:id="349"/>
      <w:bookmarkEnd w:id="350"/>
      <w:bookmarkEnd w:id="351"/>
      <w:bookmarkEnd w:id="352"/>
      <w:bookmarkEnd w:id="353"/>
      <w:bookmarkEnd w:id="354"/>
    </w:p>
    <w:p w14:paraId="171FDDA1">
      <w:pPr>
        <w:pStyle w:val="23"/>
        <w:spacing w:after="0" w:line="600" w:lineRule="exact"/>
        <w:ind w:left="0" w:leftChars="0" w:firstLine="640"/>
        <w:rPr>
          <w:rFonts w:ascii="Times New Roman" w:hAnsi="Times New Roman" w:eastAsia="仿宋_GB2312" w:cs="Times New Roman"/>
          <w:sz w:val="32"/>
          <w:szCs w:val="22"/>
        </w:rPr>
      </w:pPr>
      <w:r>
        <w:rPr>
          <w:rFonts w:hint="eastAsia" w:ascii="Times New Roman" w:hAnsi="Times New Roman" w:eastAsia="仿宋_GB2312" w:cs="Times New Roman"/>
          <w:sz w:val="32"/>
          <w:szCs w:val="22"/>
        </w:rPr>
        <w:t>紧抓“融入长三角、高铁全覆盖”战略机遇，</w:t>
      </w:r>
      <w:r>
        <w:rPr>
          <w:rFonts w:hint="eastAsia" w:ascii="Times New Roman" w:hAnsi="Times New Roman" w:eastAsia="仿宋_GB2312" w:cs="Times New Roman"/>
          <w:sz w:val="32"/>
          <w:szCs w:val="22"/>
          <w:lang w:val="en-US" w:eastAsia="zh-CN"/>
        </w:rPr>
        <w:t>积极主动做好与苏州市的结对合作帮扶工作，大力实施</w:t>
      </w:r>
      <w:r>
        <w:rPr>
          <w:rFonts w:hint="eastAsia" w:ascii="Times New Roman" w:hAnsi="Times New Roman" w:eastAsia="仿宋_GB2312" w:cs="Times New Roman"/>
          <w:sz w:val="32"/>
          <w:szCs w:val="22"/>
          <w:lang w:eastAsia="zh-CN"/>
        </w:rPr>
        <w:t>“</w:t>
      </w:r>
      <w:r>
        <w:rPr>
          <w:rFonts w:hint="eastAsia" w:ascii="Times New Roman" w:hAnsi="Times New Roman" w:eastAsia="仿宋_GB2312" w:cs="Times New Roman"/>
          <w:sz w:val="32"/>
          <w:szCs w:val="22"/>
          <w:lang w:val="en-US" w:eastAsia="zh-CN"/>
        </w:rPr>
        <w:t>双招双引</w:t>
      </w:r>
      <w:r>
        <w:rPr>
          <w:rFonts w:hint="eastAsia" w:ascii="Times New Roman" w:hAnsi="Times New Roman" w:eastAsia="仿宋_GB2312" w:cs="Times New Roman"/>
          <w:sz w:val="32"/>
          <w:szCs w:val="22"/>
          <w:lang w:eastAsia="zh-CN"/>
        </w:rPr>
        <w:t>”，</w:t>
      </w:r>
      <w:r>
        <w:rPr>
          <w:rFonts w:hint="eastAsia" w:ascii="Times New Roman" w:hAnsi="Times New Roman" w:eastAsia="仿宋_GB2312" w:cs="Times New Roman"/>
          <w:sz w:val="32"/>
          <w:szCs w:val="22"/>
          <w:lang w:val="en-US" w:eastAsia="zh-CN"/>
        </w:rPr>
        <w:t>积极承接产业转移，</w:t>
      </w:r>
      <w:r>
        <w:rPr>
          <w:rFonts w:hint="eastAsia" w:ascii="Times New Roman" w:hAnsi="Times New Roman" w:eastAsia="仿宋_GB2312" w:cs="Times New Roman"/>
          <w:sz w:val="32"/>
          <w:szCs w:val="22"/>
          <w:lang w:eastAsia="zh-CN"/>
        </w:rPr>
        <w:t>推动先进制造业与现代服务业深度融合、深度融入长三角一体化发展</w:t>
      </w:r>
      <w:r>
        <w:rPr>
          <w:rFonts w:hint="eastAsia" w:ascii="Times New Roman" w:hAnsi="Times New Roman" w:eastAsia="仿宋_GB2312" w:cs="Times New Roman"/>
          <w:sz w:val="32"/>
          <w:szCs w:val="22"/>
        </w:rPr>
        <w:t>，</w:t>
      </w:r>
      <w:r>
        <w:rPr>
          <w:rFonts w:hint="eastAsia" w:ascii="Times New Roman" w:hAnsi="Times New Roman" w:eastAsia="仿宋_GB2312" w:cs="Times New Roman"/>
          <w:sz w:val="32"/>
          <w:szCs w:val="22"/>
          <w:lang w:val="en-US" w:eastAsia="zh-CN"/>
        </w:rPr>
        <w:t>提升我市工业竞争力</w:t>
      </w:r>
      <w:r>
        <w:rPr>
          <w:rFonts w:hint="eastAsia" w:ascii="Times New Roman" w:hAnsi="Times New Roman" w:eastAsia="仿宋_GB2312" w:cs="Times New Roman"/>
          <w:sz w:val="32"/>
          <w:szCs w:val="22"/>
        </w:rPr>
        <w:t>。</w:t>
      </w:r>
    </w:p>
    <w:p w14:paraId="34D01B4F">
      <w:pPr>
        <w:spacing w:line="600" w:lineRule="exact"/>
        <w:ind w:firstLine="643" w:firstLineChars="200"/>
        <w:outlineLvl w:val="2"/>
        <w:rPr>
          <w:rFonts w:hint="default" w:ascii="Times New Roman" w:hAnsi="Times New Roman" w:eastAsia="仿宋_GB2312" w:cs="Times New Roman"/>
          <w:b/>
          <w:bCs/>
          <w:color w:val="0000FF"/>
          <w:sz w:val="32"/>
          <w:szCs w:val="32"/>
          <w:lang w:val="en-US"/>
        </w:rPr>
      </w:pPr>
      <w:r>
        <w:rPr>
          <w:rFonts w:hint="eastAsia" w:ascii="Times New Roman" w:hAnsi="Times New Roman" w:eastAsia="仿宋_GB2312" w:cs="Times New Roman"/>
          <w:b/>
          <w:bCs/>
          <w:sz w:val="32"/>
          <w:szCs w:val="32"/>
        </w:rPr>
        <w:t>1.</w:t>
      </w:r>
      <w:r>
        <w:rPr>
          <w:rFonts w:hint="eastAsia" w:ascii="Times New Roman" w:hAnsi="Times New Roman" w:eastAsia="仿宋_GB2312" w:cs="Times New Roman"/>
          <w:b/>
          <w:bCs/>
          <w:sz w:val="32"/>
          <w:szCs w:val="32"/>
          <w:lang w:val="en-US" w:eastAsia="zh-CN"/>
        </w:rPr>
        <w:t>强化</w:t>
      </w:r>
      <w:r>
        <w:rPr>
          <w:rFonts w:hint="eastAsia" w:ascii="Times New Roman" w:hAnsi="Times New Roman" w:eastAsia="仿宋_GB2312" w:cs="Times New Roman"/>
          <w:b/>
          <w:bCs/>
          <w:sz w:val="32"/>
          <w:szCs w:val="32"/>
          <w:lang w:eastAsia="zh-CN"/>
        </w:rPr>
        <w:t>“</w:t>
      </w:r>
      <w:r>
        <w:rPr>
          <w:rFonts w:hint="eastAsia" w:ascii="Times New Roman" w:hAnsi="Times New Roman" w:eastAsia="仿宋_GB2312" w:cs="Times New Roman"/>
          <w:b/>
          <w:bCs/>
          <w:sz w:val="32"/>
          <w:szCs w:val="32"/>
          <w:lang w:val="en-US" w:eastAsia="zh-CN"/>
        </w:rPr>
        <w:t>双招双引</w:t>
      </w:r>
      <w:r>
        <w:rPr>
          <w:rFonts w:hint="eastAsia" w:ascii="Times New Roman" w:hAnsi="Times New Roman" w:eastAsia="仿宋_GB2312" w:cs="Times New Roman"/>
          <w:b/>
          <w:bCs/>
          <w:sz w:val="32"/>
          <w:szCs w:val="32"/>
          <w:lang w:eastAsia="zh-CN"/>
        </w:rPr>
        <w:t>”</w:t>
      </w:r>
    </w:p>
    <w:p w14:paraId="0DEA35D0">
      <w:pPr>
        <w:pStyle w:val="23"/>
        <w:spacing w:after="0" w:line="600" w:lineRule="exact"/>
        <w:ind w:left="0" w:leftChars="0" w:firstLine="640"/>
        <w:rPr>
          <w:rFonts w:hint="default" w:ascii="Times New Roman" w:hAnsi="Times New Roman" w:eastAsia="仿宋_GB2312" w:cs="Times New Roman"/>
          <w:sz w:val="32"/>
          <w:szCs w:val="22"/>
          <w:lang w:val="en-US" w:eastAsia="zh-CN"/>
        </w:rPr>
      </w:pPr>
      <w:r>
        <w:rPr>
          <w:rFonts w:hint="eastAsia" w:ascii="Times New Roman" w:hAnsi="Times New Roman" w:eastAsia="仿宋_GB2312" w:cs="Times New Roman"/>
          <w:sz w:val="32"/>
          <w:szCs w:val="22"/>
        </w:rPr>
        <w:t>将“双招双引”作为</w:t>
      </w:r>
      <w:r>
        <w:rPr>
          <w:rFonts w:hint="eastAsia" w:ascii="Times New Roman" w:hAnsi="Times New Roman" w:eastAsia="仿宋_GB2312" w:cs="Times New Roman"/>
          <w:sz w:val="32"/>
          <w:szCs w:val="22"/>
          <w:lang w:val="en-US" w:eastAsia="zh-CN"/>
        </w:rPr>
        <w:t>经济工作的“第一战场”</w:t>
      </w:r>
      <w:r>
        <w:rPr>
          <w:rFonts w:hint="eastAsia" w:ascii="Times New Roman" w:hAnsi="Times New Roman" w:eastAsia="仿宋_GB2312" w:cs="Times New Roman"/>
          <w:sz w:val="32"/>
          <w:szCs w:val="22"/>
        </w:rPr>
        <w:t>，</w:t>
      </w:r>
      <w:r>
        <w:rPr>
          <w:rFonts w:hint="eastAsia" w:ascii="Times New Roman" w:hAnsi="Times New Roman" w:eastAsia="仿宋_GB2312" w:cs="Times New Roman"/>
          <w:sz w:val="32"/>
          <w:szCs w:val="22"/>
          <w:lang w:val="en-US" w:eastAsia="zh-CN"/>
        </w:rPr>
        <w:t>按照《阜阳市加强招商引资招才引智推动十大特色产业高质量发展工作方案》，成立12个工业产业链工作专班，实行上下联动，跨区域、跨领域协同作战。鼓励各开发园区结合当地产业基础和比较优势，合理确定主攻方向，全力打造优势产业集群</w:t>
      </w:r>
      <w:r>
        <w:rPr>
          <w:rFonts w:hint="eastAsia" w:ascii="Times New Roman" w:hAnsi="Times New Roman" w:eastAsia="仿宋_GB2312" w:cs="Times New Roman"/>
          <w:sz w:val="32"/>
          <w:szCs w:val="22"/>
        </w:rPr>
        <w:t>。</w:t>
      </w:r>
      <w:r>
        <w:rPr>
          <w:rFonts w:hint="eastAsia" w:ascii="Times New Roman" w:hAnsi="Times New Roman" w:eastAsia="仿宋_GB2312" w:cs="Times New Roman"/>
          <w:sz w:val="32"/>
          <w:szCs w:val="22"/>
          <w:lang w:val="en-US" w:eastAsia="zh-CN"/>
        </w:rPr>
        <w:t>成立产业链“双招双引”小分队，积极发挥行业商协会作用，通过以商招商、委托招商、产业链招商等方式，推进产业链补链延链强链，进一步拓宽拉长产业链条，着力培育千亿产业、“群主”企业、“链主”企业、专精特新“小巨人”和“冠军”企业</w:t>
      </w:r>
      <w:r>
        <w:rPr>
          <w:rFonts w:hint="eastAsia" w:ascii="Times New Roman" w:hAnsi="Times New Roman" w:eastAsia="仿宋_GB2312" w:cs="Times New Roman"/>
          <w:sz w:val="32"/>
          <w:szCs w:val="22"/>
        </w:rPr>
        <w:t>。</w:t>
      </w:r>
      <w:r>
        <w:rPr>
          <w:rFonts w:hint="eastAsia" w:ascii="Times New Roman" w:hAnsi="Times New Roman" w:eastAsia="仿宋_GB2312" w:cs="Times New Roman"/>
          <w:sz w:val="32"/>
          <w:szCs w:val="22"/>
          <w:lang w:val="en-US" w:eastAsia="zh-CN"/>
        </w:rPr>
        <w:t>完善高层次人才引进政策，探索</w:t>
      </w:r>
      <w:r>
        <w:rPr>
          <w:rFonts w:hint="eastAsia" w:ascii="Times New Roman" w:hAnsi="Times New Roman" w:eastAsia="仿宋_GB2312" w:cs="Times New Roman"/>
          <w:sz w:val="32"/>
          <w:szCs w:val="22"/>
        </w:rPr>
        <w:t>在引才范围、引才待遇、鼓励柔性引才等方面</w:t>
      </w:r>
      <w:r>
        <w:rPr>
          <w:rFonts w:hint="eastAsia" w:ascii="Times New Roman" w:hAnsi="Times New Roman" w:eastAsia="仿宋_GB2312" w:cs="Times New Roman"/>
          <w:sz w:val="32"/>
          <w:szCs w:val="22"/>
          <w:lang w:val="en-US" w:eastAsia="zh-CN"/>
        </w:rPr>
        <w:t>发力</w:t>
      </w:r>
      <w:r>
        <w:rPr>
          <w:rFonts w:hint="eastAsia" w:ascii="Times New Roman" w:hAnsi="Times New Roman" w:eastAsia="仿宋_GB2312" w:cs="Times New Roman"/>
          <w:sz w:val="32"/>
          <w:szCs w:val="22"/>
        </w:rPr>
        <w:t>，</w:t>
      </w:r>
      <w:r>
        <w:rPr>
          <w:rFonts w:hint="eastAsia" w:ascii="Times New Roman" w:hAnsi="Times New Roman" w:eastAsia="仿宋_GB2312" w:cs="Times New Roman"/>
          <w:sz w:val="32"/>
          <w:szCs w:val="22"/>
          <w:lang w:val="en-US" w:eastAsia="zh-CN"/>
        </w:rPr>
        <w:t>加大高层次人才引进力度</w:t>
      </w:r>
      <w:r>
        <w:rPr>
          <w:rFonts w:hint="eastAsia" w:ascii="Times New Roman" w:hAnsi="Times New Roman" w:eastAsia="仿宋_GB2312" w:cs="Times New Roman"/>
          <w:sz w:val="32"/>
          <w:szCs w:val="22"/>
        </w:rPr>
        <w:t>。建立</w:t>
      </w:r>
      <w:r>
        <w:rPr>
          <w:rFonts w:hint="eastAsia" w:ascii="Times New Roman" w:hAnsi="Times New Roman" w:eastAsia="仿宋_GB2312" w:cs="Times New Roman"/>
          <w:sz w:val="32"/>
          <w:szCs w:val="22"/>
          <w:lang w:val="en-US" w:eastAsia="zh-CN"/>
        </w:rPr>
        <w:t>阜阳与苏州</w:t>
      </w:r>
      <w:r>
        <w:rPr>
          <w:rFonts w:hint="eastAsia" w:ascii="Times New Roman" w:hAnsi="Times New Roman" w:eastAsia="仿宋_GB2312" w:cs="Times New Roman"/>
          <w:sz w:val="32"/>
          <w:szCs w:val="22"/>
        </w:rPr>
        <w:t>两市人才信息共享交流平台和高校毕业生就业信息互通联动机制，引导苏州市高层次科技人才团队来阜创新创业</w:t>
      </w:r>
      <w:r>
        <w:rPr>
          <w:rFonts w:hint="default" w:ascii="Times New Roman" w:hAnsi="Times New Roman" w:eastAsia="仿宋_GB2312" w:cs="Times New Roman"/>
          <w:sz w:val="32"/>
          <w:szCs w:val="22"/>
        </w:rPr>
        <w:t>。</w:t>
      </w:r>
      <w:r>
        <w:rPr>
          <w:rFonts w:hint="eastAsia" w:ascii="Times New Roman" w:hAnsi="Times New Roman" w:eastAsia="仿宋_GB2312" w:cs="Times New Roman"/>
          <w:sz w:val="32"/>
          <w:szCs w:val="22"/>
          <w:lang w:val="en-US" w:eastAsia="zh-CN"/>
        </w:rPr>
        <w:t>实施“颍淮英才计划”、阜阳籍人才“回家乡”行动计划，用好“颍淮优才卡”，努力培育引才聚才、爱才容才的沃土。</w:t>
      </w:r>
    </w:p>
    <w:p w14:paraId="37397F70">
      <w:pPr>
        <w:spacing w:line="600" w:lineRule="exact"/>
        <w:ind w:firstLine="643" w:firstLineChars="200"/>
        <w:outlineLvl w:val="2"/>
        <w:rPr>
          <w:rFonts w:hint="eastAsia" w:ascii="Times New Roman" w:hAnsi="Times New Roman" w:eastAsia="仿宋_GB2312" w:cs="Times New Roman"/>
          <w:b/>
          <w:bCs/>
          <w:sz w:val="32"/>
          <w:szCs w:val="32"/>
        </w:rPr>
      </w:pPr>
    </w:p>
    <w:p w14:paraId="75827F3B">
      <w:pPr>
        <w:spacing w:line="600" w:lineRule="exact"/>
        <w:ind w:firstLine="643" w:firstLineChars="200"/>
        <w:outlineLvl w:val="2"/>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2.积极承接产业转移</w:t>
      </w:r>
    </w:p>
    <w:p w14:paraId="2BC77F65">
      <w:pPr>
        <w:pStyle w:val="23"/>
        <w:spacing w:beforeLines="0" w:after="0" w:afterLines="0" w:line="600" w:lineRule="exact"/>
        <w:ind w:left="0" w:leftChars="0" w:firstLine="640" w:firstLineChars="200"/>
        <w:rPr>
          <w:rFonts w:ascii="Times New Roman" w:hAnsi="Times New Roman" w:eastAsia="仿宋_GB2312" w:cs="Times New Roman"/>
          <w:sz w:val="32"/>
          <w:szCs w:val="22"/>
        </w:rPr>
      </w:pPr>
      <w:r>
        <w:rPr>
          <w:rFonts w:hint="eastAsia" w:ascii="Times New Roman" w:hAnsi="Times New Roman" w:eastAsia="仿宋_GB2312" w:cs="Times New Roman"/>
          <w:sz w:val="32"/>
          <w:szCs w:val="22"/>
          <w:lang w:val="en-US" w:eastAsia="zh-CN"/>
        </w:rPr>
        <w:t>充分发挥</w:t>
      </w:r>
      <w:r>
        <w:rPr>
          <w:rFonts w:hint="eastAsia" w:ascii="Times New Roman" w:hAnsi="Times New Roman" w:eastAsia="仿宋_GB2312" w:cs="Times New Roman"/>
          <w:sz w:val="32"/>
          <w:szCs w:val="22"/>
        </w:rPr>
        <w:t>我市</w:t>
      </w:r>
      <w:r>
        <w:rPr>
          <w:rFonts w:hint="eastAsia" w:ascii="Times New Roman" w:hAnsi="Times New Roman" w:eastAsia="仿宋_GB2312" w:cs="Times New Roman"/>
          <w:sz w:val="32"/>
          <w:szCs w:val="22"/>
          <w:lang w:val="en-US" w:eastAsia="zh-CN"/>
        </w:rPr>
        <w:t>6个</w:t>
      </w:r>
      <w:r>
        <w:rPr>
          <w:rFonts w:hint="eastAsia" w:ascii="Times New Roman" w:hAnsi="Times New Roman" w:eastAsia="仿宋_GB2312" w:cs="Times New Roman"/>
          <w:sz w:val="32"/>
          <w:szCs w:val="22"/>
        </w:rPr>
        <w:t>长三角招商中心</w:t>
      </w:r>
      <w:r>
        <w:rPr>
          <w:rFonts w:hint="eastAsia" w:ascii="Times New Roman" w:hAnsi="Times New Roman" w:eastAsia="仿宋_GB2312" w:cs="Times New Roman"/>
          <w:sz w:val="32"/>
          <w:szCs w:val="22"/>
          <w:lang w:val="en-US" w:eastAsia="zh-CN"/>
        </w:rPr>
        <w:t>职能，</w:t>
      </w:r>
      <w:r>
        <w:rPr>
          <w:rFonts w:hint="eastAsia" w:ascii="Times New Roman" w:hAnsi="Times New Roman" w:eastAsia="仿宋_GB2312" w:cs="Times New Roman"/>
          <w:sz w:val="32"/>
          <w:szCs w:val="22"/>
        </w:rPr>
        <w:t>与长三角中心区建立“双招双引”长效机制，</w:t>
      </w:r>
      <w:r>
        <w:rPr>
          <w:rFonts w:hint="eastAsia" w:ascii="Times New Roman" w:hAnsi="Times New Roman" w:eastAsia="仿宋_GB2312" w:cs="Times New Roman"/>
          <w:sz w:val="32"/>
          <w:szCs w:val="22"/>
          <w:lang w:val="en-US" w:eastAsia="zh-CN"/>
        </w:rPr>
        <w:t>开展常态化招商</w:t>
      </w:r>
      <w:r>
        <w:rPr>
          <w:rFonts w:hint="eastAsia" w:ascii="Times New Roman" w:hAnsi="Times New Roman" w:eastAsia="仿宋_GB2312" w:cs="Times New Roman"/>
          <w:sz w:val="32"/>
          <w:szCs w:val="22"/>
          <w:lang w:eastAsia="zh-CN"/>
        </w:rPr>
        <w:t>。</w:t>
      </w:r>
      <w:r>
        <w:rPr>
          <w:rFonts w:hint="eastAsia" w:ascii="Times New Roman" w:hAnsi="Times New Roman" w:eastAsia="仿宋_GB2312" w:cs="Times New Roman"/>
          <w:sz w:val="32"/>
          <w:szCs w:val="22"/>
        </w:rPr>
        <w:t>加快“</w:t>
      </w:r>
      <w:r>
        <w:rPr>
          <w:rFonts w:ascii="Times New Roman" w:hAnsi="Times New Roman" w:eastAsia="仿宋_GB2312" w:cs="Times New Roman"/>
          <w:sz w:val="32"/>
          <w:szCs w:val="22"/>
        </w:rPr>
        <w:t>1+7+11</w:t>
      </w:r>
      <w:r>
        <w:rPr>
          <w:rFonts w:hint="eastAsia" w:ascii="Times New Roman" w:hAnsi="Times New Roman" w:eastAsia="仿宋_GB2312" w:cs="Times New Roman"/>
          <w:sz w:val="32"/>
          <w:szCs w:val="22"/>
        </w:rPr>
        <w:t>”承接产业转移集聚平台体系建设，</w:t>
      </w:r>
      <w:r>
        <w:rPr>
          <w:rFonts w:hint="eastAsia" w:ascii="Times New Roman" w:hAnsi="Times New Roman" w:eastAsia="仿宋_GB2312" w:cs="Times New Roman"/>
          <w:sz w:val="32"/>
          <w:szCs w:val="22"/>
          <w:lang w:val="en-US" w:eastAsia="zh-CN"/>
        </w:rPr>
        <w:t>重点推进阜合现代产业园省际产业园区建设，</w:t>
      </w:r>
      <w:r>
        <w:rPr>
          <w:rFonts w:hint="eastAsia" w:ascii="Times New Roman" w:hAnsi="Times New Roman" w:eastAsia="仿宋_GB2312" w:cs="Times New Roman"/>
          <w:sz w:val="32"/>
          <w:szCs w:val="22"/>
        </w:rPr>
        <w:t>加</w:t>
      </w:r>
      <w:r>
        <w:rPr>
          <w:rFonts w:hint="eastAsia" w:ascii="Times New Roman" w:hAnsi="Times New Roman" w:eastAsia="仿宋_GB2312" w:cs="Times New Roman"/>
          <w:sz w:val="32"/>
          <w:szCs w:val="22"/>
          <w:lang w:val="en-US" w:eastAsia="zh-CN"/>
        </w:rPr>
        <w:t>深</w:t>
      </w:r>
      <w:r>
        <w:rPr>
          <w:rFonts w:hint="eastAsia" w:ascii="Times New Roman" w:hAnsi="Times New Roman" w:eastAsia="仿宋_GB2312" w:cs="Times New Roman"/>
          <w:sz w:val="32"/>
          <w:szCs w:val="22"/>
        </w:rPr>
        <w:t>与上海市徐汇区、松江区、漕河泾开发区等产业合作，进一步开拓与</w:t>
      </w:r>
      <w:r>
        <w:rPr>
          <w:rFonts w:hint="eastAsia" w:ascii="Times New Roman" w:hAnsi="Times New Roman" w:eastAsia="仿宋_GB2312" w:cs="Times New Roman"/>
          <w:sz w:val="32"/>
          <w:szCs w:val="22"/>
          <w:lang w:val="en-US" w:eastAsia="zh-CN"/>
        </w:rPr>
        <w:t>合肥、苏州、台州等城市对接</w:t>
      </w:r>
      <w:r>
        <w:rPr>
          <w:rFonts w:hint="eastAsia" w:ascii="Times New Roman" w:hAnsi="Times New Roman" w:eastAsia="仿宋_GB2312" w:cs="Times New Roman"/>
          <w:sz w:val="32"/>
          <w:szCs w:val="22"/>
        </w:rPr>
        <w:t>合作</w:t>
      </w:r>
      <w:r>
        <w:rPr>
          <w:rFonts w:hint="eastAsia" w:ascii="Times New Roman" w:hAnsi="Times New Roman" w:eastAsia="仿宋_GB2312" w:cs="Times New Roman"/>
          <w:sz w:val="32"/>
          <w:szCs w:val="22"/>
          <w:lang w:eastAsia="zh-CN"/>
        </w:rPr>
        <w:t>，</w:t>
      </w:r>
      <w:r>
        <w:rPr>
          <w:rFonts w:hint="eastAsia" w:ascii="Times New Roman" w:hAnsi="Times New Roman" w:eastAsia="仿宋_GB2312" w:cs="Times New Roman"/>
          <w:sz w:val="32"/>
          <w:szCs w:val="22"/>
          <w:lang w:val="en-US" w:eastAsia="zh-CN"/>
        </w:rPr>
        <w:t>实现各县市区同沪苏浙对口合作全覆盖</w:t>
      </w:r>
      <w:r>
        <w:rPr>
          <w:rFonts w:hint="eastAsia" w:ascii="Times New Roman" w:hAnsi="Times New Roman" w:eastAsia="仿宋_GB2312" w:cs="Times New Roman"/>
          <w:sz w:val="32"/>
          <w:szCs w:val="22"/>
        </w:rPr>
        <w:t>。</w:t>
      </w:r>
      <w:r>
        <w:rPr>
          <w:rFonts w:hint="eastAsia" w:ascii="Times New Roman" w:hAnsi="Times New Roman" w:eastAsia="仿宋_GB2312" w:cs="Times New Roman"/>
          <w:sz w:val="32"/>
          <w:szCs w:val="22"/>
          <w:lang w:val="en-US" w:eastAsia="zh-CN"/>
        </w:rPr>
        <w:t>重点加强与苏州市结对合作帮扶工作，</w:t>
      </w:r>
      <w:r>
        <w:rPr>
          <w:rFonts w:hint="eastAsia" w:ascii="Times New Roman" w:hAnsi="Times New Roman" w:eastAsia="仿宋_GB2312" w:cs="Times New Roman"/>
          <w:sz w:val="32"/>
          <w:szCs w:val="22"/>
          <w:lang w:val="en-US" w:eastAsia="zh-Hans"/>
        </w:rPr>
        <w:t>加快</w:t>
      </w:r>
      <w:r>
        <w:rPr>
          <w:rFonts w:hint="eastAsia" w:ascii="Times New Roman" w:hAnsi="Times New Roman" w:eastAsia="仿宋_GB2312" w:cs="Times New Roman"/>
          <w:sz w:val="32"/>
          <w:szCs w:val="22"/>
          <w:lang w:val="en-US" w:eastAsia="zh-CN"/>
        </w:rPr>
        <w:t>苏阜工业园区</w:t>
      </w:r>
      <w:r>
        <w:rPr>
          <w:rFonts w:hint="eastAsia" w:ascii="Times New Roman" w:hAnsi="Times New Roman" w:eastAsia="仿宋_GB2312" w:cs="Times New Roman"/>
          <w:sz w:val="32"/>
          <w:szCs w:val="22"/>
          <w:lang w:val="en-US" w:eastAsia="zh-Hans"/>
        </w:rPr>
        <w:t>建设</w:t>
      </w:r>
      <w:r>
        <w:rPr>
          <w:rFonts w:hint="default" w:ascii="Times New Roman" w:hAnsi="Times New Roman" w:eastAsia="仿宋_GB2312" w:cs="Times New Roman"/>
          <w:sz w:val="32"/>
          <w:szCs w:val="22"/>
          <w:lang w:eastAsia="zh-Hans"/>
        </w:rPr>
        <w:t>，推动阜阳经开区、阜合现代产业园区与苏州工业园区以及结对县市区开发园区之间采取</w:t>
      </w:r>
      <w:r>
        <w:rPr>
          <w:rFonts w:hint="eastAsia" w:ascii="Times New Roman" w:hAnsi="Times New Roman" w:eastAsia="仿宋_GB2312" w:cs="Times New Roman"/>
          <w:sz w:val="32"/>
          <w:szCs w:val="22"/>
          <w:lang w:eastAsia="zh-Hans"/>
        </w:rPr>
        <w:t>“</w:t>
      </w:r>
      <w:r>
        <w:rPr>
          <w:rFonts w:hint="default" w:ascii="Times New Roman" w:hAnsi="Times New Roman" w:eastAsia="仿宋_GB2312" w:cs="Times New Roman"/>
          <w:sz w:val="32"/>
          <w:szCs w:val="22"/>
          <w:lang w:eastAsia="zh-Hans"/>
        </w:rPr>
        <w:t>飞地</w:t>
      </w:r>
      <w:r>
        <w:rPr>
          <w:rFonts w:hint="eastAsia" w:ascii="Times New Roman" w:hAnsi="Times New Roman" w:eastAsia="仿宋_GB2312" w:cs="Times New Roman"/>
          <w:sz w:val="32"/>
          <w:szCs w:val="22"/>
          <w:lang w:eastAsia="zh-Hans"/>
        </w:rPr>
        <w:t>”</w:t>
      </w:r>
      <w:r>
        <w:rPr>
          <w:rFonts w:hint="default" w:ascii="Times New Roman" w:hAnsi="Times New Roman" w:eastAsia="仿宋_GB2312" w:cs="Times New Roman"/>
          <w:sz w:val="32"/>
          <w:szCs w:val="22"/>
          <w:lang w:eastAsia="zh-Hans"/>
        </w:rPr>
        <w:t>、</w:t>
      </w:r>
      <w:r>
        <w:rPr>
          <w:rFonts w:hint="eastAsia" w:ascii="Times New Roman" w:hAnsi="Times New Roman" w:eastAsia="仿宋_GB2312" w:cs="Times New Roman"/>
          <w:sz w:val="32"/>
          <w:szCs w:val="22"/>
          <w:lang w:eastAsia="zh-Hans"/>
        </w:rPr>
        <w:t>“</w:t>
      </w:r>
      <w:r>
        <w:rPr>
          <w:rFonts w:hint="default" w:ascii="Times New Roman" w:hAnsi="Times New Roman" w:eastAsia="仿宋_GB2312" w:cs="Times New Roman"/>
          <w:sz w:val="32"/>
          <w:szCs w:val="22"/>
          <w:lang w:eastAsia="zh-Hans"/>
        </w:rPr>
        <w:t>园中园</w:t>
      </w:r>
      <w:r>
        <w:rPr>
          <w:rFonts w:hint="eastAsia" w:ascii="Times New Roman" w:hAnsi="Times New Roman" w:eastAsia="仿宋_GB2312" w:cs="Times New Roman"/>
          <w:sz w:val="32"/>
          <w:szCs w:val="22"/>
          <w:lang w:eastAsia="zh-Hans"/>
        </w:rPr>
        <w:t>”</w:t>
      </w:r>
      <w:r>
        <w:rPr>
          <w:rFonts w:hint="default" w:ascii="Times New Roman" w:hAnsi="Times New Roman" w:eastAsia="仿宋_GB2312" w:cs="Times New Roman"/>
          <w:sz w:val="32"/>
          <w:szCs w:val="22"/>
          <w:lang w:eastAsia="zh-Hans"/>
        </w:rPr>
        <w:t>、产业链延伸等模式开展园区合作，推进产业梯度转移</w:t>
      </w:r>
      <w:r>
        <w:rPr>
          <w:rFonts w:hint="eastAsia" w:ascii="Times New Roman" w:hAnsi="Times New Roman" w:eastAsia="仿宋_GB2312" w:cs="Times New Roman"/>
          <w:sz w:val="32"/>
          <w:szCs w:val="22"/>
          <w:lang w:val="en-US" w:eastAsia="zh-CN"/>
        </w:rPr>
        <w:t>；搭建资本与项目对接平台，设立政府产业投资基金</w:t>
      </w:r>
      <w:r>
        <w:rPr>
          <w:rFonts w:hint="default" w:ascii="Times New Roman" w:hAnsi="Times New Roman" w:eastAsia="仿宋_GB2312" w:cs="Times New Roman"/>
          <w:sz w:val="32"/>
          <w:szCs w:val="22"/>
          <w:lang w:eastAsia="zh-CN"/>
        </w:rPr>
        <w:t>；在生物医药、高端装备制造、汽车及零部件、新能源、新材料、高端纺织、节能环保、新型显示等领域，</w:t>
      </w:r>
      <w:r>
        <w:rPr>
          <w:rFonts w:hint="eastAsia" w:ascii="Times New Roman" w:hAnsi="Times New Roman" w:eastAsia="仿宋_GB2312" w:cs="Times New Roman"/>
          <w:sz w:val="32"/>
          <w:szCs w:val="22"/>
          <w:lang w:val="en-US" w:eastAsia="zh-CN"/>
        </w:rPr>
        <w:t>梳理重大项目清单，推动项目和资本高效对接。支持</w:t>
      </w:r>
      <w:r>
        <w:rPr>
          <w:rFonts w:hint="eastAsia" w:ascii="Times New Roman" w:hAnsi="Times New Roman" w:eastAsia="仿宋_GB2312" w:cs="Times New Roman"/>
          <w:sz w:val="32"/>
          <w:szCs w:val="22"/>
        </w:rPr>
        <w:t>产业链推进专班密切联系对接省十大新兴产业推进组，关注十大新兴产业全省布局，积极争取省领导联系的重大项目在阜阳落地。</w:t>
      </w:r>
      <w:r>
        <w:rPr>
          <w:rFonts w:hint="eastAsia" w:ascii="Times New Roman" w:hAnsi="Times New Roman" w:eastAsia="仿宋_GB2312" w:cs="Times New Roman"/>
          <w:sz w:val="32"/>
          <w:szCs w:val="22"/>
          <w:lang w:val="en-US" w:eastAsia="zh-CN"/>
        </w:rPr>
        <w:t>瞄准主导产业发展方向，注重产业之间深度融合和创新发展，大力招引优质企业和与本地企业相衔接的上下游企业完善产业链条，将阜阳建成中原地区新兴制造业基地，</w:t>
      </w:r>
      <w:r>
        <w:rPr>
          <w:rFonts w:hint="eastAsia" w:ascii="Times New Roman" w:hAnsi="Times New Roman" w:eastAsia="仿宋_GB2312" w:cs="Times New Roman"/>
          <w:sz w:val="32"/>
          <w:szCs w:val="22"/>
        </w:rPr>
        <w:t>不断提升产业链整体水平。</w:t>
      </w:r>
    </w:p>
    <w:p w14:paraId="38A2826A">
      <w:pPr>
        <w:spacing w:line="600" w:lineRule="exact"/>
        <w:ind w:firstLine="643" w:firstLineChars="200"/>
        <w:outlineLvl w:val="2"/>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lang w:val="en-US" w:eastAsia="zh-CN"/>
        </w:rPr>
        <w:t>3</w:t>
      </w:r>
      <w:r>
        <w:rPr>
          <w:rFonts w:ascii="Times New Roman" w:hAnsi="Times New Roman" w:eastAsia="仿宋_GB2312" w:cs="Times New Roman"/>
          <w:b/>
          <w:bCs/>
          <w:sz w:val="32"/>
          <w:szCs w:val="32"/>
        </w:rPr>
        <w:t>.</w:t>
      </w:r>
      <w:r>
        <w:rPr>
          <w:rFonts w:hint="eastAsia" w:ascii="Times New Roman" w:hAnsi="Times New Roman" w:eastAsia="仿宋_GB2312" w:cs="Times New Roman"/>
          <w:b/>
          <w:bCs/>
          <w:sz w:val="32"/>
          <w:szCs w:val="32"/>
        </w:rPr>
        <w:t>扩大工业外向度</w:t>
      </w:r>
    </w:p>
    <w:p w14:paraId="61E544F6">
      <w:pPr>
        <w:pStyle w:val="23"/>
        <w:spacing w:after="0" w:line="600" w:lineRule="exact"/>
        <w:ind w:left="0" w:leftChars="0" w:firstLine="640"/>
        <w:rPr>
          <w:rFonts w:ascii="Times New Roman" w:hAnsi="Times New Roman" w:eastAsia="仿宋_GB2312" w:cs="Times New Roman"/>
          <w:sz w:val="32"/>
          <w:szCs w:val="22"/>
        </w:rPr>
      </w:pPr>
      <w:r>
        <w:rPr>
          <w:rFonts w:ascii="Times New Roman" w:hAnsi="Times New Roman" w:eastAsia="仿宋_GB2312" w:cs="Times New Roman"/>
          <w:sz w:val="32"/>
          <w:szCs w:val="22"/>
        </w:rPr>
        <w:t>推进太和发制品、阜南柳木国家级外贸转型升级基地建设，加快培育柳编、发艺、纺织服装、特色农产品、渔具等外贸优势产业集群，打造一批具有区域影响力的外贸产业集群。</w:t>
      </w:r>
      <w:r>
        <w:rPr>
          <w:rFonts w:hint="eastAsia" w:ascii="Times New Roman" w:hAnsi="Times New Roman" w:eastAsia="仿宋_GB2312" w:cs="Times New Roman"/>
          <w:sz w:val="32"/>
          <w:szCs w:val="22"/>
        </w:rPr>
        <w:t>积极组织工业企业参加</w:t>
      </w:r>
      <w:r>
        <w:rPr>
          <w:rFonts w:ascii="Times New Roman" w:hAnsi="Times New Roman" w:eastAsia="仿宋_GB2312" w:cs="Times New Roman"/>
          <w:sz w:val="32"/>
          <w:szCs w:val="22"/>
        </w:rPr>
        <w:t>中国国际进口博览会、世界制造业大会、中国国际高新技术成果交易会、中国进出口商品交易会（广交会）、阜阳投资贸易洽谈会等</w:t>
      </w:r>
      <w:r>
        <w:rPr>
          <w:rFonts w:hint="eastAsia" w:ascii="Times New Roman" w:hAnsi="Times New Roman" w:eastAsia="仿宋_GB2312" w:cs="Times New Roman"/>
          <w:sz w:val="32"/>
          <w:szCs w:val="22"/>
        </w:rPr>
        <w:t>活动</w:t>
      </w:r>
      <w:r>
        <w:rPr>
          <w:rFonts w:ascii="Times New Roman" w:hAnsi="Times New Roman" w:eastAsia="仿宋_GB2312" w:cs="Times New Roman"/>
          <w:sz w:val="32"/>
          <w:szCs w:val="22"/>
        </w:rPr>
        <w:t>，多元化开拓国际市场。创新利用外资方式和工作机制，支持企业扩大对外投资，推动装备、技术、标准、服务走出去，扩大</w:t>
      </w:r>
      <w:r>
        <w:rPr>
          <w:rFonts w:hint="eastAsia" w:ascii="Times New Roman" w:hAnsi="Times New Roman" w:eastAsia="仿宋_GB2312" w:cs="Times New Roman"/>
          <w:sz w:val="32"/>
          <w:szCs w:val="22"/>
        </w:rPr>
        <w:t>“</w:t>
      </w:r>
      <w:r>
        <w:rPr>
          <w:rFonts w:ascii="Times New Roman" w:hAnsi="Times New Roman" w:eastAsia="仿宋_GB2312" w:cs="Times New Roman"/>
          <w:sz w:val="32"/>
          <w:szCs w:val="22"/>
        </w:rPr>
        <w:t>走出去</w:t>
      </w:r>
      <w:r>
        <w:rPr>
          <w:rFonts w:hint="eastAsia" w:ascii="Times New Roman" w:hAnsi="Times New Roman" w:eastAsia="仿宋_GB2312" w:cs="Times New Roman"/>
          <w:sz w:val="32"/>
          <w:szCs w:val="22"/>
        </w:rPr>
        <w:t>”</w:t>
      </w:r>
      <w:r>
        <w:rPr>
          <w:rFonts w:ascii="Times New Roman" w:hAnsi="Times New Roman" w:eastAsia="仿宋_GB2312" w:cs="Times New Roman"/>
          <w:sz w:val="32"/>
          <w:szCs w:val="22"/>
        </w:rPr>
        <w:t>的规模和水平，深化与境外经贸合作园区对接合作。</w:t>
      </w:r>
    </w:p>
    <w:p w14:paraId="3E6F39C7">
      <w:pPr>
        <w:spacing w:beforeLines="0" w:afterLines="0" w:line="600" w:lineRule="exact"/>
        <w:ind w:firstLine="643" w:firstLineChars="200"/>
        <w:outlineLvl w:val="2"/>
        <w:rPr>
          <w:rFonts w:hint="eastAsia" w:ascii="Times New Roman" w:hAnsi="Times New Roman" w:eastAsia="仿宋_GB2312" w:cs="Times New Roman"/>
          <w:b/>
          <w:bCs/>
          <w:sz w:val="32"/>
          <w:szCs w:val="32"/>
          <w:lang w:eastAsia="zh-CN"/>
        </w:rPr>
      </w:pPr>
      <w:r>
        <w:rPr>
          <w:rFonts w:hint="eastAsia" w:ascii="Times New Roman" w:hAnsi="Times New Roman" w:eastAsia="仿宋_GB2312" w:cs="Times New Roman"/>
          <w:b/>
          <w:bCs/>
          <w:sz w:val="32"/>
          <w:szCs w:val="32"/>
          <w:lang w:val="en-US" w:eastAsia="zh-CN"/>
        </w:rPr>
        <w:t>4</w:t>
      </w:r>
      <w:r>
        <w:rPr>
          <w:rFonts w:hint="eastAsia" w:ascii="Times New Roman" w:hAnsi="Times New Roman" w:eastAsia="仿宋_GB2312" w:cs="Times New Roman"/>
          <w:b/>
          <w:bCs/>
          <w:sz w:val="32"/>
          <w:szCs w:val="32"/>
        </w:rPr>
        <w:t>.</w:t>
      </w:r>
      <w:r>
        <w:rPr>
          <w:rFonts w:hint="eastAsia" w:ascii="Times New Roman" w:hAnsi="Times New Roman" w:eastAsia="仿宋_GB2312" w:cs="Times New Roman"/>
          <w:b/>
          <w:bCs/>
          <w:sz w:val="32"/>
          <w:szCs w:val="32"/>
          <w:lang w:val="en-US" w:eastAsia="zh-CN"/>
        </w:rPr>
        <w:t>促进产业融合</w:t>
      </w:r>
    </w:p>
    <w:p w14:paraId="4F203A47">
      <w:pPr>
        <w:pStyle w:val="23"/>
        <w:spacing w:after="0" w:line="600" w:lineRule="exact"/>
        <w:ind w:left="0" w:leftChars="0" w:firstLine="640"/>
        <w:rPr>
          <w:rFonts w:ascii="Times New Roman" w:hAnsi="Times New Roman" w:eastAsia="仿宋_GB2312" w:cs="Times New Roman"/>
          <w:sz w:val="32"/>
          <w:szCs w:val="22"/>
        </w:rPr>
      </w:pPr>
      <w:r>
        <w:rPr>
          <w:rFonts w:hint="eastAsia" w:ascii="Times New Roman" w:hAnsi="Times New Roman" w:eastAsia="仿宋_GB2312"/>
          <w:sz w:val="32"/>
          <w:szCs w:val="32"/>
        </w:rPr>
        <w:t>加快推动先进制造业与现代服务业深度融合，开展服务型制造示范行动，</w:t>
      </w:r>
      <w:r>
        <w:rPr>
          <w:rFonts w:hint="eastAsia" w:ascii="Times New Roman" w:hAnsi="Times New Roman" w:eastAsia="仿宋_GB2312" w:cs="Times New Roman"/>
          <w:sz w:val="32"/>
          <w:szCs w:val="22"/>
        </w:rPr>
        <w:t>积极发展柔性定制、总集成总承包、供应链管理、产品全生命周期管理等服务型制造新业态新模式，支持龙头企业、重大创新平台分行业探索融合发展路径，</w:t>
      </w:r>
      <w:r>
        <w:rPr>
          <w:rFonts w:hint="eastAsia" w:ascii="Times New Roman" w:hAnsi="Times New Roman" w:eastAsia="仿宋_GB2312" w:cs="Times New Roman"/>
          <w:sz w:val="32"/>
          <w:szCs w:val="22"/>
          <w:lang w:val="en-US" w:eastAsia="zh-CN"/>
        </w:rPr>
        <w:t>培育</w:t>
      </w:r>
      <w:r>
        <w:rPr>
          <w:rFonts w:hint="eastAsia" w:ascii="Times New Roman" w:hAnsi="Times New Roman" w:eastAsia="仿宋_GB2312" w:cs="Times New Roman"/>
          <w:sz w:val="32"/>
          <w:szCs w:val="22"/>
        </w:rPr>
        <w:t>创建一批</w:t>
      </w:r>
      <w:r>
        <w:rPr>
          <w:rFonts w:hint="eastAsia" w:ascii="Times New Roman" w:hAnsi="Times New Roman" w:eastAsia="仿宋_GB2312" w:cs="Times New Roman"/>
          <w:sz w:val="32"/>
          <w:szCs w:val="22"/>
          <w:lang w:val="en-US" w:eastAsia="zh-CN"/>
        </w:rPr>
        <w:t>省级先进制造业和现代服务业深度融合试点企业和示范园区</w:t>
      </w:r>
      <w:r>
        <w:rPr>
          <w:rFonts w:hint="eastAsia" w:ascii="Times New Roman" w:hAnsi="Times New Roman" w:eastAsia="仿宋_GB2312" w:cs="Times New Roman"/>
          <w:sz w:val="32"/>
          <w:szCs w:val="22"/>
        </w:rPr>
        <w:t>。实施工业设计能力提升专项行动</w:t>
      </w:r>
      <w:bookmarkStart w:id="355" w:name="_Hlk56459817"/>
      <w:r>
        <w:rPr>
          <w:rFonts w:hint="eastAsia" w:ascii="Times New Roman" w:hAnsi="Times New Roman" w:eastAsia="仿宋_GB2312" w:cs="Times New Roman"/>
          <w:sz w:val="32"/>
          <w:szCs w:val="22"/>
        </w:rPr>
        <w:t>，引导有条件的制造业企业构建“设计+研发+用户体验”的创新设计体系，引进省内外知名设计机构和专业团队入驻并加强设计和服务能力建设，创新设计模式，创建设计品牌，打造一批具有较强竞争力的设计平台，创建一批省级工业设计中心。</w:t>
      </w:r>
      <w:bookmarkEnd w:id="355"/>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74A5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71E70455">
            <w:pPr>
              <w:ind w:left="420" w:leftChars="200" w:firstLine="2249" w:firstLineChars="800"/>
              <w:rPr>
                <w:rFonts w:hint="default" w:ascii="仿宋_GB2312" w:hAnsi="仿宋_GB2312" w:eastAsia="仿宋_GB2312"/>
                <w:shd w:val="clear" w:color="auto" w:fill="FFFFFF"/>
                <w:lang w:val="en-US"/>
              </w:rPr>
            </w:pPr>
            <w:r>
              <w:rPr>
                <w:rFonts w:hint="eastAsia" w:ascii="仿宋_GB2312" w:hAnsi="宋体" w:eastAsia="仿宋_GB2312" w:cs="宋体"/>
                <w:b/>
                <w:kern w:val="0"/>
                <w:sz w:val="28"/>
                <w:szCs w:val="28"/>
              </w:rPr>
              <w:t>专栏5-5</w:t>
            </w:r>
            <w:r>
              <w:rPr>
                <w:rFonts w:hint="eastAsia" w:ascii="仿宋_GB2312" w:hAnsi="宋体" w:eastAsia="仿宋_GB2312" w:cs="宋体"/>
                <w:b/>
                <w:kern w:val="0"/>
                <w:sz w:val="28"/>
                <w:szCs w:val="28"/>
                <w:lang w:val="en-US" w:eastAsia="zh-CN"/>
              </w:rPr>
              <w:t xml:space="preserve"> 服务型制造专栏</w:t>
            </w:r>
          </w:p>
        </w:tc>
      </w:tr>
      <w:tr w14:paraId="5A7B9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7021F636">
            <w:pPr>
              <w:spacing w:line="600" w:lineRule="exact"/>
              <w:ind w:firstLine="562" w:firstLineChars="200"/>
            </w:pPr>
            <w:r>
              <w:rPr>
                <w:rFonts w:hint="eastAsia" w:ascii="仿宋_GB2312" w:eastAsia="仿宋_GB2312" w:cs="Times New Roman"/>
                <w:b/>
                <w:bCs/>
                <w:sz w:val="28"/>
                <w:szCs w:val="28"/>
              </w:rPr>
              <w:t>优化供应链管理，</w:t>
            </w:r>
            <w:r>
              <w:rPr>
                <w:rFonts w:hint="eastAsia" w:ascii="仿宋_GB2312" w:eastAsia="仿宋_GB2312" w:cs="Times New Roman"/>
                <w:sz w:val="28"/>
                <w:szCs w:val="28"/>
              </w:rPr>
              <w:t>在</w:t>
            </w:r>
            <w:r>
              <w:rPr>
                <w:rFonts w:hint="eastAsia" w:ascii="仿宋_GB2312" w:eastAsia="仿宋_GB2312" w:cs="Times New Roman"/>
                <w:sz w:val="28"/>
                <w:szCs w:val="28"/>
                <w:lang w:val="en-US" w:eastAsia="zh-CN"/>
              </w:rPr>
              <w:t>新材料</w:t>
            </w:r>
            <w:r>
              <w:rPr>
                <w:rFonts w:hint="eastAsia" w:ascii="仿宋_GB2312" w:eastAsia="仿宋_GB2312" w:cs="Times New Roman"/>
                <w:sz w:val="28"/>
                <w:szCs w:val="28"/>
              </w:rPr>
              <w:t>、装备制造等领域打造一批供应链管理创新企业,以企业业务单元为基础,以市场客户需求为纽带,以订单信息流为中心,实施以“服务零距离、资金零占用、质量零缺陷”为目标的流程再造工程。</w:t>
            </w:r>
            <w:r>
              <w:rPr>
                <w:rFonts w:hint="eastAsia" w:ascii="仿宋_GB2312" w:eastAsia="仿宋_GB2312" w:cs="Times New Roman"/>
                <w:b/>
                <w:bCs/>
                <w:sz w:val="28"/>
                <w:szCs w:val="28"/>
              </w:rPr>
              <w:t>发展全生命周期管理服务，</w:t>
            </w:r>
            <w:r>
              <w:rPr>
                <w:rFonts w:hint="eastAsia" w:ascii="仿宋_GB2312" w:eastAsia="仿宋_GB2312" w:cs="Times New Roman"/>
                <w:sz w:val="28"/>
                <w:szCs w:val="28"/>
              </w:rPr>
              <w:t>重点支持汽车、工程机械、成套设备等装备产品制造企业整合产业链上下游生产与服务资源，提升研发设计、生产制造、维护管理、产品再制造和回收处置能力,实施产品全生命周期管理服务。</w:t>
            </w:r>
            <w:r>
              <w:rPr>
                <w:rFonts w:hint="eastAsia" w:ascii="仿宋_GB2312" w:eastAsia="仿宋_GB2312" w:cs="Times New Roman"/>
                <w:b/>
                <w:bCs/>
                <w:sz w:val="28"/>
                <w:szCs w:val="28"/>
              </w:rPr>
              <w:t>发展总集成总承包服务，</w:t>
            </w:r>
            <w:r>
              <w:rPr>
                <w:rFonts w:hint="eastAsia" w:ascii="仿宋_GB2312" w:eastAsia="仿宋_GB2312" w:cs="Times New Roman"/>
                <w:sz w:val="28"/>
                <w:szCs w:val="28"/>
              </w:rPr>
              <w:t>支持装备制造、节能环保等行业企业,创新组织模式和商业模式,以制造系统整体解决方案为突破口,提供一体化的产品设计、方案咨询、系统设计、销售渠道、成套安装和运行维护等成套服务,提升其增值服务能力。</w:t>
            </w:r>
            <w:r>
              <w:rPr>
                <w:rFonts w:hint="eastAsia" w:ascii="仿宋_GB2312" w:eastAsia="仿宋_GB2312" w:cs="Times New Roman"/>
                <w:b/>
                <w:bCs/>
                <w:sz w:val="28"/>
                <w:szCs w:val="28"/>
              </w:rPr>
              <w:t>推广定制化服务，</w:t>
            </w:r>
            <w:r>
              <w:rPr>
                <w:rFonts w:hint="eastAsia" w:ascii="仿宋_GB2312" w:eastAsia="仿宋_GB2312" w:cs="Times New Roman"/>
                <w:sz w:val="28"/>
                <w:szCs w:val="28"/>
              </w:rPr>
              <w:t>支持纺织服装、柳木加工等行业企业建立在线设计、客服体验、电子商务平台,形成动态感知、实时响应消费需求的大规模个性化定制模式。鼓励汽车、装备等行业企业建立专业的设计平台并面向社会服务,推动重点产品数据库开放共享,提升高端产品和装备模块化设计、柔性化制造、定制化服务能力。</w:t>
            </w:r>
          </w:p>
        </w:tc>
      </w:tr>
    </w:tbl>
    <w:p w14:paraId="6690B8C1">
      <w:pPr>
        <w:ind w:firstLine="643" w:firstLineChars="200"/>
        <w:outlineLvl w:val="1"/>
        <w:rPr>
          <w:rFonts w:ascii="楷体_GB2312" w:hAnsi="楷体_GB2312" w:eastAsia="楷体_GB2312" w:cs="楷体_GB2312"/>
          <w:b/>
          <w:bCs/>
          <w:sz w:val="32"/>
          <w:szCs w:val="32"/>
        </w:rPr>
      </w:pPr>
      <w:bookmarkStart w:id="356" w:name="_Toc9340"/>
      <w:bookmarkStart w:id="357" w:name="_Toc15185"/>
      <w:bookmarkStart w:id="358" w:name="_Toc7345"/>
      <w:bookmarkStart w:id="359" w:name="_Toc12364"/>
      <w:bookmarkStart w:id="360" w:name="_Toc11559"/>
      <w:bookmarkStart w:id="361" w:name="_Toc6075"/>
      <w:bookmarkStart w:id="362" w:name="_Toc15879"/>
      <w:bookmarkStart w:id="363" w:name="_Toc265"/>
      <w:bookmarkStart w:id="364" w:name="_Toc5149"/>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六</w:t>
      </w:r>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质量品牌提升</w:t>
      </w:r>
      <w:r>
        <w:rPr>
          <w:rFonts w:hint="eastAsia" w:ascii="楷体_GB2312" w:hAnsi="楷体_GB2312" w:eastAsia="楷体_GB2312" w:cs="楷体_GB2312"/>
          <w:b/>
          <w:bCs/>
          <w:sz w:val="32"/>
          <w:szCs w:val="32"/>
        </w:rPr>
        <w:t>工程</w:t>
      </w:r>
      <w:bookmarkEnd w:id="341"/>
      <w:bookmarkEnd w:id="342"/>
      <w:bookmarkEnd w:id="343"/>
      <w:bookmarkEnd w:id="344"/>
      <w:bookmarkEnd w:id="356"/>
      <w:bookmarkEnd w:id="357"/>
      <w:bookmarkEnd w:id="358"/>
      <w:bookmarkEnd w:id="359"/>
      <w:bookmarkEnd w:id="360"/>
      <w:bookmarkEnd w:id="361"/>
      <w:bookmarkEnd w:id="362"/>
      <w:bookmarkEnd w:id="363"/>
      <w:bookmarkEnd w:id="364"/>
    </w:p>
    <w:p w14:paraId="519DA7D1">
      <w:pPr>
        <w:pStyle w:val="23"/>
        <w:spacing w:after="0" w:line="600" w:lineRule="exact"/>
        <w:ind w:left="0" w:leftChars="0" w:firstLine="640"/>
        <w:rPr>
          <w:rFonts w:hint="eastAsia" w:ascii="Times New Roman" w:hAnsi="Times New Roman" w:eastAsia="仿宋_GB2312" w:cs="Times New Roman"/>
          <w:sz w:val="32"/>
          <w:szCs w:val="22"/>
        </w:rPr>
      </w:pPr>
      <w:r>
        <w:rPr>
          <w:rFonts w:hint="eastAsia" w:ascii="Times New Roman" w:hAnsi="Times New Roman" w:eastAsia="仿宋_GB2312" w:cs="Times New Roman"/>
          <w:sz w:val="32"/>
          <w:szCs w:val="22"/>
          <w:lang w:val="en-US" w:eastAsia="zh-CN"/>
        </w:rPr>
        <w:t>强化质量，做大品牌，</w:t>
      </w:r>
      <w:r>
        <w:rPr>
          <w:rFonts w:hint="eastAsia" w:ascii="Times New Roman" w:hAnsi="Times New Roman" w:eastAsia="仿宋_GB2312" w:cs="Times New Roman"/>
          <w:sz w:val="32"/>
          <w:szCs w:val="22"/>
        </w:rPr>
        <w:t>支持更多企业建立健全以提高质量和核心竞争力为中心的现代企业质量管理体系。</w:t>
      </w:r>
    </w:p>
    <w:p w14:paraId="5DEC5035">
      <w:pPr>
        <w:spacing w:line="600" w:lineRule="exact"/>
        <w:ind w:firstLine="643" w:firstLineChars="200"/>
        <w:outlineLvl w:val="2"/>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lang w:val="en-US" w:eastAsia="zh-CN"/>
        </w:rPr>
        <w:t>1</w:t>
      </w:r>
      <w:r>
        <w:rPr>
          <w:rFonts w:hint="eastAsia" w:ascii="Times New Roman" w:hAnsi="Times New Roman" w:eastAsia="仿宋_GB2312" w:cs="Times New Roman"/>
          <w:b/>
          <w:bCs/>
          <w:sz w:val="32"/>
          <w:szCs w:val="32"/>
        </w:rPr>
        <w:t>.实施精品制造</w:t>
      </w:r>
    </w:p>
    <w:p w14:paraId="27358088">
      <w:pPr>
        <w:pStyle w:val="23"/>
        <w:spacing w:after="0" w:line="600" w:lineRule="exact"/>
        <w:ind w:left="0" w:leftChars="0" w:firstLine="640"/>
        <w:rPr>
          <w:rFonts w:hint="eastAsia" w:ascii="Times New Roman" w:hAnsi="Times New Roman" w:eastAsia="仿宋_GB2312" w:cs="Times New Roman"/>
          <w:sz w:val="32"/>
          <w:szCs w:val="22"/>
        </w:rPr>
      </w:pPr>
      <w:r>
        <w:rPr>
          <w:rFonts w:hint="eastAsia" w:ascii="Times New Roman" w:hAnsi="Times New Roman" w:eastAsia="仿宋_GB2312" w:cs="Times New Roman"/>
          <w:sz w:val="32"/>
          <w:szCs w:val="22"/>
        </w:rPr>
        <w:t>聚焦扩大内需战略基点，大力实施增品种、提品质、创品牌“三品”行动，通过产品更新换代和品牌效益提升，促进企业和产业升级。围绕</w:t>
      </w:r>
      <w:r>
        <w:rPr>
          <w:rFonts w:hint="eastAsia" w:ascii="Times New Roman" w:hAnsi="Times New Roman" w:eastAsia="仿宋_GB2312" w:cs="Times New Roman"/>
          <w:sz w:val="32"/>
          <w:szCs w:val="22"/>
          <w:lang w:val="en-US" w:eastAsia="zh-CN"/>
        </w:rPr>
        <w:t>电子信息及光电显示</w:t>
      </w:r>
      <w:r>
        <w:rPr>
          <w:rFonts w:hint="eastAsia" w:ascii="Times New Roman" w:hAnsi="Times New Roman" w:eastAsia="仿宋_GB2312" w:cs="Times New Roman"/>
          <w:sz w:val="32"/>
          <w:szCs w:val="22"/>
        </w:rPr>
        <w:t>、智能装备、节能汽车和新能源汽车、智能家电、节能环保、新材料、生物医药和高端医疗器械和设备、工程机械和农机装备、新能源设备等行业发展领域，鼓励企业加大自主创新力度，积极争创安徽工业精品、阜阳工业精品。</w:t>
      </w:r>
    </w:p>
    <w:p w14:paraId="47175C65">
      <w:pPr>
        <w:spacing w:line="600" w:lineRule="exact"/>
        <w:ind w:firstLine="643" w:firstLineChars="200"/>
        <w:outlineLvl w:val="2"/>
        <w:rPr>
          <w:rFonts w:hint="eastAsia" w:ascii="Times New Roman" w:hAnsi="Times New Roman" w:eastAsia="仿宋_GB2312" w:cs="Times New Roman"/>
          <w:b/>
          <w:bCs/>
          <w:sz w:val="32"/>
          <w:szCs w:val="32"/>
          <w:lang w:val="en-US" w:eastAsia="zh-CN"/>
        </w:rPr>
      </w:pPr>
    </w:p>
    <w:p w14:paraId="02B60375">
      <w:pPr>
        <w:spacing w:line="600" w:lineRule="exact"/>
        <w:ind w:firstLine="643" w:firstLineChars="200"/>
        <w:outlineLvl w:val="2"/>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2</w:t>
      </w:r>
      <w:r>
        <w:rPr>
          <w:rFonts w:hint="eastAsia" w:ascii="Times New Roman" w:hAnsi="Times New Roman" w:eastAsia="仿宋_GB2312" w:cs="Times New Roman"/>
          <w:b/>
          <w:bCs/>
          <w:sz w:val="32"/>
          <w:szCs w:val="32"/>
        </w:rPr>
        <w:t>.</w:t>
      </w:r>
      <w:r>
        <w:rPr>
          <w:rFonts w:hint="eastAsia" w:ascii="Times New Roman" w:hAnsi="Times New Roman" w:eastAsia="仿宋_GB2312" w:cs="Times New Roman"/>
          <w:b/>
          <w:bCs/>
          <w:sz w:val="32"/>
          <w:szCs w:val="32"/>
          <w:lang w:val="en-US" w:eastAsia="zh-CN"/>
        </w:rPr>
        <w:t>提升产品发展质量</w:t>
      </w:r>
    </w:p>
    <w:p w14:paraId="7615666D">
      <w:pPr>
        <w:pStyle w:val="23"/>
        <w:spacing w:after="0" w:line="600" w:lineRule="exact"/>
        <w:ind w:left="0" w:leftChars="0" w:firstLine="640"/>
        <w:rPr>
          <w:rFonts w:ascii="Times New Roman" w:hAnsi="Times New Roman" w:eastAsia="仿宋_GB2312" w:cs="Times New Roman"/>
          <w:sz w:val="32"/>
          <w:szCs w:val="22"/>
        </w:rPr>
      </w:pPr>
      <w:r>
        <w:rPr>
          <w:rFonts w:hint="eastAsia" w:ascii="Times New Roman" w:hAnsi="Times New Roman" w:eastAsia="仿宋_GB2312" w:cs="Times New Roman"/>
          <w:sz w:val="32"/>
          <w:szCs w:val="22"/>
        </w:rPr>
        <w:t>落实企业质量管理“领跑者”计划，优化质量检验、认证认可等基础服务体系，补齐工业设计等基础服务短板，从研发设计、品牌定位、工艺技术、生产装备、市场推广、售后运维等环节，全流程提升企业质量管理水平。创建一批行业标杆企业，以6S管理、经营指标、技术创新、信息化水平、社会认可度等指标为依据，分行业打造10家以上示范性好、带动性强的标杆企业，引导同行业、同类型企业立足自身实际对标找差，在全市形成争先进位态势。</w:t>
      </w:r>
    </w:p>
    <w:p w14:paraId="11ACA659">
      <w:pPr>
        <w:spacing w:line="600" w:lineRule="exact"/>
        <w:ind w:firstLine="643" w:firstLineChars="200"/>
        <w:outlineLvl w:val="2"/>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3.打造阜阳工业品牌</w:t>
      </w:r>
    </w:p>
    <w:p w14:paraId="7ED19D07">
      <w:pPr>
        <w:pStyle w:val="23"/>
        <w:keepNext w:val="0"/>
        <w:keepLines w:val="0"/>
        <w:pageBreakBefore w:val="0"/>
        <w:widowControl w:val="0"/>
        <w:kinsoku/>
        <w:wordWrap/>
        <w:overflowPunct/>
        <w:topLinePunct w:val="0"/>
        <w:autoSpaceDE/>
        <w:autoSpaceDN/>
        <w:bidi w:val="0"/>
        <w:adjustRightInd/>
        <w:snapToGrid/>
        <w:spacing w:after="0" w:line="600" w:lineRule="exact"/>
        <w:ind w:left="0" w:leftChars="0" w:firstLine="640"/>
        <w:textAlignment w:val="auto"/>
        <w:rPr>
          <w:rFonts w:hint="eastAsia" w:ascii="Times New Roman" w:hAnsi="Times New Roman" w:eastAsia="仿宋_GB2312" w:cs="Times New Roman"/>
          <w:sz w:val="32"/>
          <w:szCs w:val="22"/>
        </w:rPr>
      </w:pPr>
      <w:r>
        <w:rPr>
          <w:rFonts w:hint="eastAsia" w:ascii="Times New Roman" w:hAnsi="Times New Roman" w:eastAsia="仿宋_GB2312" w:cs="Times New Roman"/>
          <w:sz w:val="32"/>
          <w:szCs w:val="22"/>
        </w:rPr>
        <w:t>积极参与“精品安徽·皖美智造”主题宣传活动，不断提升阜阳制造影响力，促进阜阳品牌向安徽品牌、中国品牌跃升。积极开展品牌创建行动，充分发挥品牌对企业发展的助推作用，做好界首资源循环利用、太和</w:t>
      </w:r>
      <w:r>
        <w:rPr>
          <w:rFonts w:hint="eastAsia" w:ascii="Times New Roman" w:hAnsi="Times New Roman" w:eastAsia="仿宋_GB2312" w:cs="Times New Roman"/>
          <w:sz w:val="32"/>
          <w:szCs w:val="22"/>
          <w:lang w:val="en-US" w:eastAsia="zh-CN"/>
        </w:rPr>
        <w:t>生命健康</w:t>
      </w:r>
      <w:r>
        <w:rPr>
          <w:rFonts w:hint="eastAsia" w:ascii="Times New Roman" w:hAnsi="Times New Roman" w:eastAsia="仿宋_GB2312" w:cs="Times New Roman"/>
          <w:sz w:val="32"/>
          <w:szCs w:val="22"/>
        </w:rPr>
        <w:t>、阜南柳木、临泉皮革</w:t>
      </w:r>
      <w:r>
        <w:rPr>
          <w:rFonts w:hint="eastAsia" w:ascii="Times New Roman" w:hAnsi="Times New Roman" w:eastAsia="仿宋_GB2312" w:cs="Times New Roman"/>
          <w:sz w:val="32"/>
          <w:szCs w:val="22"/>
          <w:lang w:eastAsia="zh-CN"/>
        </w:rPr>
        <w:t>、</w:t>
      </w:r>
      <w:r>
        <w:rPr>
          <w:rFonts w:hint="eastAsia" w:ascii="Times New Roman" w:hAnsi="Times New Roman" w:eastAsia="仿宋_GB2312" w:cs="Times New Roman"/>
          <w:sz w:val="32"/>
          <w:szCs w:val="22"/>
          <w:lang w:val="en-US" w:eastAsia="zh-CN"/>
        </w:rPr>
        <w:t>颍上大米</w:t>
      </w:r>
      <w:r>
        <w:rPr>
          <w:rFonts w:hint="eastAsia" w:ascii="Times New Roman" w:hAnsi="Times New Roman" w:eastAsia="仿宋_GB2312" w:cs="Times New Roman"/>
          <w:sz w:val="32"/>
          <w:szCs w:val="22"/>
        </w:rPr>
        <w:t>等区域品牌推广工作，着力形成“区域品牌+企业品牌”互促格局。开展“标准化+先进制造”行动，推动绿色食品、装备制造、纺织服装等企业内外销“同线同标同质”，鼓励企业主导或参与制修订国家和行业标准。</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C706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43CB1E2E">
            <w:pPr>
              <w:ind w:left="420" w:leftChars="200" w:firstLine="2249" w:firstLineChars="800"/>
              <w:rPr>
                <w:rFonts w:hint="default" w:ascii="仿宋_GB2312" w:hAnsi="仿宋_GB2312" w:eastAsia="仿宋_GB2312"/>
                <w:shd w:val="clear" w:color="auto" w:fill="FFFFFF"/>
                <w:lang w:val="en-US"/>
              </w:rPr>
            </w:pPr>
            <w:r>
              <w:rPr>
                <w:rFonts w:hint="eastAsia" w:ascii="仿宋_GB2312" w:hAnsi="宋体" w:eastAsia="仿宋_GB2312" w:cs="宋体"/>
                <w:b/>
                <w:kern w:val="0"/>
                <w:sz w:val="28"/>
                <w:szCs w:val="28"/>
              </w:rPr>
              <w:t>专栏5-</w:t>
            </w:r>
            <w:r>
              <w:rPr>
                <w:rFonts w:hint="eastAsia" w:ascii="仿宋_GB2312" w:hAnsi="宋体" w:eastAsia="仿宋_GB2312" w:cs="宋体"/>
                <w:b/>
                <w:kern w:val="0"/>
                <w:sz w:val="28"/>
                <w:szCs w:val="28"/>
                <w:lang w:val="en-US" w:eastAsia="zh-CN"/>
              </w:rPr>
              <w:t>6 质量品牌培育专栏</w:t>
            </w:r>
          </w:p>
        </w:tc>
      </w:tr>
      <w:tr w14:paraId="3847B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3694E576">
            <w:pPr>
              <w:spacing w:line="600" w:lineRule="exact"/>
              <w:ind w:firstLine="560" w:firstLineChars="200"/>
            </w:pPr>
            <w:r>
              <w:rPr>
                <w:rFonts w:hint="eastAsia" w:ascii="仿宋_GB2312" w:eastAsia="仿宋_GB2312" w:cs="Times New Roman"/>
                <w:sz w:val="28"/>
                <w:szCs w:val="28"/>
              </w:rPr>
              <w:t>深入推进“安徽工业精品”提升行动计划，引导装备制造、家电行业、纺织服装、柳木加工等企业走“创意设计+制造”之路，建设一批工业设计中心</w:t>
            </w:r>
            <w:r>
              <w:rPr>
                <w:rFonts w:hint="eastAsia" w:ascii="仿宋_GB2312" w:eastAsia="仿宋_GB2312" w:cs="Times New Roman"/>
                <w:sz w:val="28"/>
                <w:szCs w:val="28"/>
                <w:lang w:eastAsia="zh-CN"/>
              </w:rPr>
              <w:t>，</w:t>
            </w:r>
            <w:r>
              <w:rPr>
                <w:rFonts w:hint="eastAsia" w:ascii="仿宋_GB2312" w:eastAsia="仿宋_GB2312" w:cs="Times New Roman"/>
                <w:sz w:val="28"/>
                <w:szCs w:val="28"/>
                <w:lang w:val="en-US" w:eastAsia="zh-CN"/>
              </w:rPr>
              <w:t>到2025年，全市新增安徽工业精品30个</w:t>
            </w:r>
            <w:r>
              <w:rPr>
                <w:rFonts w:hint="eastAsia" w:ascii="仿宋_GB2312" w:eastAsia="仿宋_GB2312" w:cs="Times New Roman"/>
                <w:sz w:val="28"/>
                <w:szCs w:val="28"/>
              </w:rPr>
              <w:t>。加强品牌培育管理体系建设，围绕重点产业，以行业龙头骨干企业、行业“单打冠军”、历史经典产业中的老字号等为重点，实施品牌培育工程。以新型工业化产业示范基地、经济技术开发区、高新技术</w:t>
            </w:r>
            <w:r>
              <w:rPr>
                <w:rFonts w:hint="eastAsia" w:ascii="仿宋_GB2312" w:eastAsia="仿宋_GB2312" w:cs="Times New Roman"/>
                <w:sz w:val="28"/>
                <w:szCs w:val="28"/>
                <w:lang w:val="en-US" w:eastAsia="zh-CN"/>
              </w:rPr>
              <w:t>产业</w:t>
            </w:r>
            <w:r>
              <w:rPr>
                <w:rFonts w:hint="eastAsia" w:ascii="仿宋_GB2312" w:eastAsia="仿宋_GB2312" w:cs="Times New Roman"/>
                <w:sz w:val="28"/>
                <w:szCs w:val="28"/>
              </w:rPr>
              <w:t>开发区等为主体，推进区域品牌培育，形成一批在省内外有影响力的先进制造业集群区域品牌。</w:t>
            </w:r>
          </w:p>
        </w:tc>
      </w:tr>
    </w:tbl>
    <w:p w14:paraId="7F2760C7">
      <w:pPr>
        <w:ind w:firstLine="643" w:firstLineChars="200"/>
        <w:outlineLvl w:val="1"/>
        <w:rPr>
          <w:rFonts w:hint="default" w:ascii="楷体_GB2312" w:hAnsi="楷体_GB2312" w:eastAsia="楷体_GB2312" w:cs="楷体_GB2312"/>
          <w:b/>
          <w:bCs/>
          <w:sz w:val="32"/>
          <w:szCs w:val="32"/>
          <w:lang w:val="en-US" w:eastAsia="zh-CN"/>
        </w:rPr>
      </w:pPr>
      <w:bookmarkStart w:id="365" w:name="_Toc28827"/>
      <w:bookmarkStart w:id="366" w:name="_Toc29112"/>
      <w:bookmarkStart w:id="367" w:name="_Toc23447"/>
      <w:bookmarkStart w:id="368" w:name="_Toc22467"/>
      <w:bookmarkStart w:id="369" w:name="_Toc11802"/>
      <w:bookmarkStart w:id="370" w:name="_Toc15823"/>
      <w:bookmarkStart w:id="371" w:name="_Toc12026"/>
      <w:bookmarkStart w:id="372" w:name="_Toc10747"/>
      <w:bookmarkStart w:id="373" w:name="_Toc1285"/>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七</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工业平台提升工程</w:t>
      </w:r>
      <w:bookmarkEnd w:id="365"/>
      <w:bookmarkEnd w:id="366"/>
      <w:bookmarkEnd w:id="367"/>
      <w:bookmarkEnd w:id="368"/>
      <w:bookmarkEnd w:id="369"/>
      <w:bookmarkEnd w:id="370"/>
      <w:bookmarkEnd w:id="371"/>
      <w:bookmarkEnd w:id="372"/>
      <w:bookmarkEnd w:id="373"/>
    </w:p>
    <w:p w14:paraId="3EF3055E">
      <w:pPr>
        <w:widowControl/>
        <w:shd w:val="clear" w:color="auto" w:fill="auto"/>
        <w:spacing w:after="0" w:line="240" w:lineRule="auto"/>
        <w:ind w:firstLine="640" w:firstLineChars="200"/>
        <w:jc w:val="left"/>
        <w:rPr>
          <w:rFonts w:hint="default" w:ascii="Times New Roman" w:hAnsi="Times New Roman" w:eastAsia="仿宋_GB2312" w:cs="Times New Roman"/>
          <w:color w:val="auto"/>
          <w:sz w:val="32"/>
          <w:szCs w:val="22"/>
        </w:rPr>
      </w:pPr>
      <w:bookmarkStart w:id="374" w:name="_Toc15580"/>
      <w:bookmarkStart w:id="375" w:name="_Toc4928"/>
      <w:bookmarkStart w:id="376" w:name="_Toc12135"/>
      <w:r>
        <w:rPr>
          <w:rFonts w:ascii="Times New Roman" w:hAnsi="Times New Roman" w:eastAsia="仿宋_GB2312" w:cs="Times New Roman"/>
          <w:color w:val="auto"/>
          <w:sz w:val="32"/>
          <w:szCs w:val="22"/>
        </w:rPr>
        <w:t>立足资源禀赋、产业结构等条件，明确主攻方向，</w:t>
      </w:r>
      <w:r>
        <w:rPr>
          <w:rFonts w:hint="default" w:ascii="Times New Roman" w:hAnsi="Times New Roman" w:eastAsia="仿宋_GB2312" w:cs="Times New Roman"/>
          <w:color w:val="auto"/>
          <w:sz w:val="32"/>
          <w:szCs w:val="22"/>
          <w:lang w:val="en-US" w:eastAsia="zh-CN"/>
        </w:rPr>
        <w:t>强化园区载体建设，为工业集聚发展做好支撑。</w:t>
      </w:r>
    </w:p>
    <w:p w14:paraId="1300B382">
      <w:pPr>
        <w:spacing w:beforeLines="0" w:afterLines="0" w:line="600" w:lineRule="exact"/>
        <w:ind w:firstLine="643" w:firstLineChars="200"/>
        <w:outlineLvl w:val="2"/>
        <w:rPr>
          <w:rFonts w:hint="default" w:ascii="Times New Roman" w:hAnsi="Times New Roman" w:eastAsia="仿宋_GB2312" w:cs="Times New Roman"/>
          <w:b/>
          <w:bCs/>
          <w:sz w:val="32"/>
          <w:szCs w:val="32"/>
          <w:lang w:val="en-US" w:eastAsia="zh-CN"/>
        </w:rPr>
      </w:pPr>
      <w:r>
        <w:rPr>
          <w:rFonts w:hint="default" w:ascii="Times New Roman" w:hAnsi="Times New Roman" w:eastAsia="仿宋_GB2312" w:cs="Times New Roman"/>
          <w:b/>
          <w:bCs/>
          <w:sz w:val="32"/>
          <w:szCs w:val="32"/>
          <w:lang w:val="en-US" w:eastAsia="zh-CN"/>
        </w:rPr>
        <w:t>1.</w:t>
      </w:r>
      <w:bookmarkEnd w:id="374"/>
      <w:bookmarkEnd w:id="375"/>
      <w:bookmarkEnd w:id="376"/>
      <w:r>
        <w:rPr>
          <w:rFonts w:hint="default" w:ascii="Times New Roman" w:hAnsi="Times New Roman" w:eastAsia="仿宋_GB2312" w:cs="Times New Roman"/>
          <w:b/>
          <w:bCs/>
          <w:sz w:val="32"/>
          <w:szCs w:val="32"/>
          <w:lang w:val="en-US" w:eastAsia="zh-CN"/>
        </w:rPr>
        <w:t>推进集群化发展</w:t>
      </w:r>
    </w:p>
    <w:p w14:paraId="7157C526">
      <w:pPr>
        <w:pStyle w:val="23"/>
        <w:keepNext w:val="0"/>
        <w:keepLines w:val="0"/>
        <w:pageBreakBefore w:val="0"/>
        <w:widowControl w:val="0"/>
        <w:kinsoku/>
        <w:wordWrap/>
        <w:overflowPunct/>
        <w:topLinePunct w:val="0"/>
        <w:autoSpaceDE/>
        <w:autoSpaceDN/>
        <w:bidi w:val="0"/>
        <w:adjustRightInd/>
        <w:snapToGrid/>
        <w:spacing w:after="0" w:line="600" w:lineRule="exact"/>
        <w:ind w:left="0" w:leftChars="0" w:firstLine="640"/>
        <w:textAlignment w:val="auto"/>
        <w:rPr>
          <w:rFonts w:hint="default" w:ascii="Times New Roman" w:hAnsi="Times New Roman" w:eastAsia="仿宋_GB2312" w:cs="Times New Roman"/>
          <w:kern w:val="2"/>
          <w:sz w:val="32"/>
          <w:szCs w:val="22"/>
          <w:lang w:val="en-US" w:eastAsia="zh-CN" w:bidi="ar-SA"/>
        </w:rPr>
      </w:pPr>
      <w:r>
        <w:rPr>
          <w:rFonts w:hint="eastAsia" w:ascii="Times New Roman" w:hAnsi="Times New Roman" w:eastAsia="仿宋_GB2312" w:cs="Times New Roman"/>
          <w:kern w:val="2"/>
          <w:sz w:val="32"/>
          <w:szCs w:val="22"/>
          <w:lang w:val="en-US" w:eastAsia="zh-CN" w:bidi="ar-SA"/>
        </w:rPr>
        <w:t>围绕界首田营科技园、太和肖口工业园一体化发展思路，组建“阜阳高新区首太新能源产业园”，重点推动新型电池和新能源汽车装备制造产业发展，壮大全市新能源产业规模。</w:t>
      </w:r>
      <w:r>
        <w:rPr>
          <w:rFonts w:hint="default" w:ascii="Times New Roman" w:hAnsi="Times New Roman" w:eastAsia="仿宋_GB2312" w:cs="Times New Roman"/>
          <w:kern w:val="2"/>
          <w:sz w:val="32"/>
          <w:szCs w:val="22"/>
          <w:lang w:val="en-US" w:eastAsia="zh-CN" w:bidi="ar-SA"/>
        </w:rPr>
        <w:t>立足界首资源循环利用国家级新型工业化示范基地、太和肖口绿色新能源产业基地等产业发展基础，重点承接发展再生金属、再生塑料、秸秆及有机废弃物等资源综合利用产业，</w:t>
      </w:r>
      <w:r>
        <w:rPr>
          <w:rFonts w:hint="eastAsia" w:ascii="Times New Roman" w:hAnsi="Times New Roman" w:eastAsia="仿宋_GB2312" w:cs="Times New Roman"/>
          <w:kern w:val="2"/>
          <w:sz w:val="32"/>
          <w:szCs w:val="22"/>
          <w:lang w:val="en-US" w:eastAsia="zh-CN" w:bidi="ar-SA"/>
        </w:rPr>
        <w:t>打造节能环保产业集群。依托颍上刘庄、谢桥、颍东口孜东三大煤矿开采等产业基础，重点承接煤基新材料等产业，形成以传统煤化工为基础，现代煤化工为主导，精细化工、煤电煤气为一体的产业格局，高标准建成安徽省皖北（阜阳）现代化工产业集聚区。充分发挥临泉、颍上等农业资源，大力引进农产品深加工龙头企业和重大项目，重点承接农产品加工、食品加工、酒及饮料等产业，建成千亿元绿色食品产业集群</w:t>
      </w:r>
      <w:r>
        <w:rPr>
          <w:rFonts w:hint="default" w:ascii="Times New Roman" w:hAnsi="Times New Roman" w:eastAsia="仿宋_GB2312" w:cs="Times New Roman"/>
          <w:kern w:val="2"/>
          <w:sz w:val="32"/>
          <w:szCs w:val="22"/>
          <w:lang w:val="en-US" w:eastAsia="zh-CN" w:bidi="ar-SA"/>
        </w:rPr>
        <w:t>。充分利用阜合现代产业园区（阜阳经开区）装备机械制造、先进交通装备制造产业基础，重点承接发展新能源电池、电机等关键零部件生产加工技术，建设汇集高新技术和现代制造业企业的集聚区。</w:t>
      </w:r>
      <w:r>
        <w:rPr>
          <w:rFonts w:hint="eastAsia" w:ascii="Times New Roman" w:hAnsi="Times New Roman" w:eastAsia="仿宋_GB2312" w:cs="Times New Roman"/>
          <w:kern w:val="2"/>
          <w:sz w:val="32"/>
          <w:szCs w:val="22"/>
          <w:lang w:val="en-US" w:eastAsia="zh-CN" w:bidi="ar-SA"/>
        </w:rPr>
        <w:t>充分发挥太和“买全国、卖全国”的医药市场优势，依托太和经开区承接化学原料药、制剂等产业转移类项目，推进省级</w:t>
      </w:r>
      <w:r>
        <w:rPr>
          <w:rFonts w:hint="default" w:ascii="Times New Roman" w:hAnsi="Times New Roman" w:eastAsia="仿宋_GB2312" w:cs="Times New Roman"/>
          <w:kern w:val="2"/>
          <w:sz w:val="32"/>
          <w:szCs w:val="22"/>
          <w:lang w:val="en-US" w:eastAsia="zh-CN" w:bidi="ar-SA"/>
        </w:rPr>
        <w:t>现代医药</w:t>
      </w:r>
      <w:r>
        <w:rPr>
          <w:rFonts w:hint="eastAsia" w:ascii="Times New Roman" w:hAnsi="Times New Roman" w:eastAsia="仿宋_GB2312" w:cs="Times New Roman"/>
          <w:kern w:val="2"/>
          <w:sz w:val="32"/>
          <w:szCs w:val="22"/>
          <w:lang w:val="en-US" w:eastAsia="zh-CN" w:bidi="ar-SA"/>
        </w:rPr>
        <w:t>重大新兴产业基地建设。依托阜南、临泉、颍上经济开发区在棉纺、化纤、麻纺、毛纺、丝绸、皮革等领域产业优势，加大招商引资，改造提升纺纱、织造技术环节，培育纺织制造产业集群</w:t>
      </w:r>
      <w:r>
        <w:rPr>
          <w:rFonts w:hint="default" w:ascii="Times New Roman" w:hAnsi="Times New Roman" w:eastAsia="仿宋_GB2312" w:cs="Times New Roman"/>
          <w:kern w:val="2"/>
          <w:sz w:val="32"/>
          <w:szCs w:val="22"/>
          <w:lang w:val="en-US" w:eastAsia="zh-CN" w:bidi="ar-SA"/>
        </w:rPr>
        <w:t>。</w:t>
      </w:r>
    </w:p>
    <w:p w14:paraId="143D5119">
      <w:pPr>
        <w:spacing w:line="600" w:lineRule="exact"/>
        <w:ind w:firstLine="643" w:firstLineChars="200"/>
        <w:outlineLvl w:val="2"/>
        <w:rPr>
          <w:rFonts w:hint="default" w:ascii="Times New Roman" w:hAnsi="Times New Roman" w:eastAsia="仿宋_GB2312" w:cs="Times New Roman"/>
          <w:b/>
          <w:bCs/>
          <w:sz w:val="32"/>
          <w:szCs w:val="32"/>
          <w:lang w:val="en-US" w:eastAsia="zh-CN"/>
        </w:rPr>
      </w:pPr>
      <w:bookmarkStart w:id="377" w:name="_Toc25318"/>
      <w:bookmarkStart w:id="378" w:name="_Toc20852"/>
      <w:bookmarkStart w:id="379" w:name="_Toc29936"/>
      <w:r>
        <w:rPr>
          <w:rFonts w:hint="default" w:ascii="Times New Roman" w:hAnsi="Times New Roman" w:eastAsia="仿宋_GB2312" w:cs="Times New Roman"/>
          <w:b/>
          <w:bCs/>
          <w:sz w:val="32"/>
          <w:szCs w:val="32"/>
          <w:lang w:val="en-US" w:eastAsia="zh-CN"/>
        </w:rPr>
        <w:t>2.</w:t>
      </w:r>
      <w:bookmarkEnd w:id="377"/>
      <w:bookmarkEnd w:id="378"/>
      <w:bookmarkEnd w:id="379"/>
      <w:r>
        <w:rPr>
          <w:rFonts w:hint="default" w:ascii="Times New Roman" w:hAnsi="Times New Roman" w:eastAsia="仿宋_GB2312" w:cs="Times New Roman"/>
          <w:b/>
          <w:bCs/>
          <w:sz w:val="32"/>
          <w:szCs w:val="32"/>
          <w:lang w:val="en-US" w:eastAsia="zh-CN"/>
        </w:rPr>
        <w:t>完善园区</w:t>
      </w:r>
      <w:r>
        <w:rPr>
          <w:rFonts w:hint="eastAsia" w:ascii="Times New Roman" w:hAnsi="Times New Roman" w:eastAsia="仿宋_GB2312" w:cs="Times New Roman"/>
          <w:b/>
          <w:bCs/>
          <w:sz w:val="32"/>
          <w:szCs w:val="32"/>
          <w:lang w:val="en-US" w:eastAsia="zh-CN"/>
        </w:rPr>
        <w:t>基础设施</w:t>
      </w:r>
      <w:r>
        <w:rPr>
          <w:rFonts w:hint="default" w:ascii="Times New Roman" w:hAnsi="Times New Roman" w:eastAsia="仿宋_GB2312" w:cs="Times New Roman"/>
          <w:b/>
          <w:bCs/>
          <w:sz w:val="32"/>
          <w:szCs w:val="32"/>
          <w:lang w:val="en-US" w:eastAsia="zh-CN"/>
        </w:rPr>
        <w:t>配套</w:t>
      </w:r>
    </w:p>
    <w:p w14:paraId="61781BA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kern w:val="2"/>
          <w:sz w:val="32"/>
          <w:szCs w:val="22"/>
          <w:lang w:val="en-US" w:eastAsia="zh-CN" w:bidi="ar-SA"/>
        </w:rPr>
      </w:pPr>
      <w:r>
        <w:rPr>
          <w:rFonts w:hint="eastAsia" w:ascii="Times New Roman" w:hAnsi="Times New Roman" w:eastAsia="仿宋_GB2312" w:cs="Times New Roman"/>
          <w:kern w:val="2"/>
          <w:sz w:val="32"/>
          <w:szCs w:val="22"/>
          <w:lang w:val="en-US" w:eastAsia="zh-CN" w:bidi="ar-SA"/>
        </w:rPr>
        <w:t>持续补齐园区硬件基础设施短板。</w:t>
      </w:r>
      <w:r>
        <w:rPr>
          <w:rFonts w:hint="default" w:ascii="Times New Roman" w:hAnsi="Times New Roman" w:eastAsia="仿宋_GB2312" w:cs="Times New Roman"/>
          <w:kern w:val="2"/>
          <w:sz w:val="32"/>
          <w:szCs w:val="22"/>
          <w:lang w:val="en-US" w:eastAsia="zh-CN" w:bidi="ar-SA"/>
        </w:rPr>
        <w:t>围绕重大项目建设和企业发展需求，加快</w:t>
      </w:r>
      <w:r>
        <w:rPr>
          <w:rFonts w:hint="eastAsia" w:ascii="Times New Roman" w:hAnsi="Times New Roman" w:eastAsia="仿宋_GB2312" w:cs="Times New Roman"/>
          <w:kern w:val="2"/>
          <w:sz w:val="32"/>
          <w:szCs w:val="22"/>
          <w:lang w:val="en-US" w:eastAsia="zh-CN" w:bidi="ar-SA"/>
        </w:rPr>
        <w:t>完善</w:t>
      </w:r>
      <w:r>
        <w:rPr>
          <w:rFonts w:hint="default" w:ascii="Times New Roman" w:hAnsi="Times New Roman" w:eastAsia="仿宋_GB2312" w:cs="Times New Roman"/>
          <w:kern w:val="2"/>
          <w:sz w:val="32"/>
          <w:szCs w:val="22"/>
          <w:lang w:val="en-US" w:eastAsia="zh-CN" w:bidi="ar-SA"/>
        </w:rPr>
        <w:t>园区</w:t>
      </w:r>
      <w:r>
        <w:rPr>
          <w:rFonts w:hint="eastAsia" w:ascii="Times New Roman" w:hAnsi="Times New Roman" w:eastAsia="仿宋_GB2312" w:cs="Times New Roman"/>
          <w:kern w:val="2"/>
          <w:sz w:val="32"/>
          <w:szCs w:val="22"/>
          <w:lang w:val="en-US" w:eastAsia="zh-CN" w:bidi="ar-SA"/>
        </w:rPr>
        <w:t>水、电、路、气、讯</w:t>
      </w:r>
      <w:r>
        <w:rPr>
          <w:rFonts w:hint="default" w:ascii="Times New Roman" w:hAnsi="Times New Roman" w:eastAsia="仿宋_GB2312" w:cs="Times New Roman"/>
          <w:kern w:val="2"/>
          <w:sz w:val="32"/>
          <w:szCs w:val="22"/>
          <w:lang w:val="en-US" w:eastAsia="zh-CN" w:bidi="ar-SA"/>
        </w:rPr>
        <w:t>等基础设施，统筹规划园区综合管廊建设</w:t>
      </w:r>
      <w:r>
        <w:rPr>
          <w:rFonts w:hint="eastAsia" w:ascii="Times New Roman" w:hAnsi="Times New Roman" w:eastAsia="仿宋_GB2312" w:cs="Times New Roman"/>
          <w:kern w:val="2"/>
          <w:sz w:val="32"/>
          <w:szCs w:val="22"/>
          <w:lang w:val="en-US" w:eastAsia="zh-CN" w:bidi="ar-SA"/>
        </w:rPr>
        <w:t>，加快清理园区低效闲置用地和拆迁报批土地，推进园区标准化厂房建设，提高土地集约节约水平。创新完善园区软件设施环境。推进“管委会+公司”管理体制改革，助推阜阳经开区毗邻园区体制改革产业融合创新发展、安徽阜阳界首高新技术产业开发区法定机构改革，支持有条件的开发区争创国家级开发区，大力推行“标准地”改革，建立熟地、标房储备制度，建立新增供应项目“标准地”投资、建设、能耗、环保等控制性指标体系。</w:t>
      </w:r>
    </w:p>
    <w:p w14:paraId="4AA4A1A0">
      <w:pPr>
        <w:spacing w:line="600" w:lineRule="exact"/>
        <w:ind w:firstLine="643" w:firstLineChars="200"/>
        <w:outlineLvl w:val="2"/>
        <w:rPr>
          <w:rFonts w:ascii="Times New Roman" w:hAnsi="Times New Roman" w:eastAsia="仿宋_GB2312" w:cs="Times New Roman"/>
          <w:b/>
          <w:bCs/>
          <w:sz w:val="32"/>
          <w:szCs w:val="32"/>
        </w:rPr>
      </w:pPr>
      <w:r>
        <w:rPr>
          <w:rFonts w:hint="eastAsia" w:ascii="Times New Roman" w:hAnsi="Times New Roman" w:eastAsia="仿宋_GB2312" w:cs="Times New Roman"/>
          <w:b/>
          <w:bCs/>
          <w:sz w:val="32"/>
          <w:szCs w:val="32"/>
        </w:rPr>
        <w:t>3.加强园区交流合作</w:t>
      </w:r>
    </w:p>
    <w:p w14:paraId="7090026B">
      <w:pPr>
        <w:pStyle w:val="23"/>
        <w:keepNext w:val="0"/>
        <w:keepLines w:val="0"/>
        <w:pageBreakBefore w:val="0"/>
        <w:widowControl w:val="0"/>
        <w:kinsoku/>
        <w:wordWrap/>
        <w:overflowPunct/>
        <w:topLinePunct w:val="0"/>
        <w:autoSpaceDE/>
        <w:autoSpaceDN/>
        <w:bidi w:val="0"/>
        <w:adjustRightInd/>
        <w:snapToGrid/>
        <w:spacing w:after="0" w:line="600" w:lineRule="exact"/>
        <w:ind w:left="0" w:leftChars="0" w:firstLine="640"/>
        <w:textAlignment w:val="auto"/>
        <w:rPr>
          <w:rFonts w:hint="eastAsia" w:ascii="Times New Roman" w:hAnsi="Times New Roman" w:eastAsia="仿宋_GB2312" w:cs="Times New Roman"/>
          <w:sz w:val="32"/>
          <w:szCs w:val="22"/>
        </w:rPr>
      </w:pPr>
      <w:r>
        <w:rPr>
          <w:rFonts w:hint="eastAsia" w:ascii="Times New Roman" w:hAnsi="Times New Roman" w:eastAsia="仿宋_GB2312" w:cs="Times New Roman"/>
          <w:sz w:val="32"/>
          <w:szCs w:val="22"/>
        </w:rPr>
        <w:t>加强与长三角中心区等发达地区工业园区对接合作，以我市省级开发区为载体，对接发达城市相关省级园区，通过技术引进、合作开发、市场共享等方式，探索合作共建“飞地经济”园区模式，实现产业链供应链创新链协同发展。完善全市上下一盘棋的发展思路，明确市内各开发区产业的合理定位，构建完善区域产业分工协作体系，推动生产要素跨区域有序流动，引导各产业园区特色化、差异化、专业化发展。对于主导产业相同的园区，通过合作共建基地、腾笼换鸟等方式实现专业化发展。</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81C9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7FAF6673">
            <w:pPr>
              <w:ind w:left="420" w:leftChars="200" w:firstLine="2249" w:firstLineChars="800"/>
              <w:rPr>
                <w:rFonts w:hint="default" w:ascii="仿宋_GB2312" w:hAnsi="仿宋_GB2312" w:eastAsia="仿宋_GB2312"/>
                <w:shd w:val="clear" w:color="auto" w:fill="FFFFFF"/>
                <w:lang w:val="en-US" w:eastAsia="zh-CN"/>
              </w:rPr>
            </w:pPr>
            <w:r>
              <w:rPr>
                <w:rFonts w:hint="eastAsia" w:ascii="仿宋_GB2312" w:hAnsi="宋体" w:eastAsia="仿宋_GB2312" w:cs="宋体"/>
                <w:b/>
                <w:kern w:val="0"/>
                <w:sz w:val="28"/>
                <w:szCs w:val="28"/>
              </w:rPr>
              <w:t>专栏5-</w:t>
            </w:r>
            <w:r>
              <w:rPr>
                <w:rFonts w:hint="eastAsia" w:ascii="仿宋_GB2312" w:hAnsi="宋体" w:eastAsia="仿宋_GB2312" w:cs="宋体"/>
                <w:b/>
                <w:kern w:val="0"/>
                <w:sz w:val="28"/>
                <w:szCs w:val="28"/>
                <w:lang w:val="en-US" w:eastAsia="zh-CN"/>
              </w:rPr>
              <w:t xml:space="preserve">7 </w:t>
            </w:r>
            <w:r>
              <w:rPr>
                <w:rFonts w:hint="eastAsia" w:ascii="仿宋_GB2312" w:hAnsi="宋体" w:eastAsia="仿宋_GB2312" w:cs="宋体"/>
                <w:b/>
                <w:kern w:val="0"/>
                <w:sz w:val="28"/>
                <w:szCs w:val="28"/>
              </w:rPr>
              <w:t>园区</w:t>
            </w:r>
            <w:r>
              <w:rPr>
                <w:rFonts w:hint="eastAsia" w:ascii="仿宋_GB2312" w:hAnsi="宋体" w:eastAsia="仿宋_GB2312" w:cs="宋体"/>
                <w:b/>
                <w:kern w:val="0"/>
                <w:sz w:val="28"/>
                <w:szCs w:val="28"/>
                <w:lang w:val="en-US" w:eastAsia="zh-CN"/>
              </w:rPr>
              <w:t>平台提升专栏</w:t>
            </w:r>
          </w:p>
        </w:tc>
      </w:tr>
      <w:tr w14:paraId="1F9A6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0DBEF945">
            <w:pPr>
              <w:spacing w:line="600" w:lineRule="exact"/>
              <w:ind w:firstLine="562" w:firstLineChars="200"/>
              <w:rPr>
                <w:rFonts w:ascii="仿宋_GB2312" w:eastAsia="仿宋_GB2312" w:cs="Times New Roman"/>
                <w:b/>
                <w:bCs/>
                <w:sz w:val="28"/>
                <w:szCs w:val="28"/>
              </w:rPr>
            </w:pPr>
            <w:r>
              <w:rPr>
                <w:rFonts w:hint="eastAsia" w:ascii="仿宋_GB2312" w:eastAsia="仿宋_GB2312" w:cs="Times New Roman"/>
                <w:b/>
                <w:bCs/>
                <w:sz w:val="28"/>
                <w:szCs w:val="28"/>
              </w:rPr>
              <w:t>阜阳合肥现代产业园区。</w:t>
            </w:r>
            <w:r>
              <w:rPr>
                <w:rFonts w:hint="eastAsia" w:ascii="仿宋_GB2312" w:eastAsia="仿宋_GB2312" w:cs="Times New Roman"/>
                <w:b w:val="0"/>
                <w:bCs w:val="0"/>
                <w:sz w:val="28"/>
                <w:szCs w:val="28"/>
                <w:lang w:val="en-US" w:eastAsia="zh-CN"/>
              </w:rPr>
              <w:t>园区</w:t>
            </w:r>
            <w:r>
              <w:rPr>
                <w:rFonts w:hint="eastAsia" w:ascii="Times New Roman" w:hAnsi="Times New Roman" w:eastAsia="仿宋_GB2312" w:cs="Times New Roman"/>
                <w:sz w:val="28"/>
                <w:szCs w:val="28"/>
              </w:rPr>
              <w:t>规划面积30平方公里，建成区</w:t>
            </w:r>
            <w:r>
              <w:rPr>
                <w:rFonts w:hint="eastAsia" w:ascii="Times New Roman" w:hAnsi="Times New Roman" w:eastAsia="仿宋_GB2312" w:cs="Times New Roman"/>
                <w:sz w:val="28"/>
                <w:szCs w:val="28"/>
                <w:lang w:val="en-US" w:eastAsia="zh-CN"/>
              </w:rPr>
              <w:t>面积</w:t>
            </w:r>
            <w:r>
              <w:rPr>
                <w:rFonts w:hint="eastAsia" w:ascii="Times New Roman" w:hAnsi="Times New Roman" w:eastAsia="仿宋_GB2312" w:cs="Times New Roman"/>
                <w:sz w:val="28"/>
                <w:szCs w:val="28"/>
              </w:rPr>
              <w:t>10平方公里</w:t>
            </w: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lang w:val="en-US" w:eastAsia="zh-CN"/>
              </w:rPr>
              <w:t>规上工业企业15家，已形成了</w:t>
            </w:r>
            <w:r>
              <w:rPr>
                <w:rFonts w:hint="eastAsia" w:ascii="Times New Roman" w:hAnsi="Times New Roman" w:eastAsia="仿宋_GB2312" w:cs="Times New Roman"/>
                <w:sz w:val="28"/>
                <w:szCs w:val="28"/>
              </w:rPr>
              <w:t>载货汽车产业园、先进交通（轨道）智能制造产业园、绿色食品产业园、工投中小企业园等园中园相互促进、蓬勃发展。</w:t>
            </w:r>
            <w:r>
              <w:rPr>
                <w:rFonts w:hint="eastAsia" w:ascii="Times New Roman" w:hAnsi="Times New Roman" w:eastAsia="仿宋_GB2312" w:cs="Times New Roman"/>
                <w:sz w:val="28"/>
                <w:szCs w:val="28"/>
                <w:lang w:val="en-US" w:eastAsia="zh-CN"/>
              </w:rPr>
              <w:t>“十四五”期间，园区</w:t>
            </w:r>
            <w:r>
              <w:rPr>
                <w:rFonts w:hint="eastAsia" w:ascii="Times New Roman" w:hAnsi="Times New Roman" w:eastAsia="仿宋_GB2312" w:cs="Times New Roman"/>
                <w:kern w:val="2"/>
                <w:sz w:val="28"/>
                <w:szCs w:val="28"/>
                <w:lang w:val="en-US" w:eastAsia="zh-CN" w:bidi="ar-SA"/>
              </w:rPr>
              <w:t>重点培育以先进交通设备为主的智能制造产业集群，延伸培育电子信息、农机装备、医疗器械、绿色建筑、绿色食品等产业链条，</w:t>
            </w:r>
            <w:r>
              <w:rPr>
                <w:rFonts w:hint="eastAsia" w:ascii="Times New Roman" w:hAnsi="Times New Roman" w:eastAsia="仿宋_GB2312" w:cs="Times New Roman"/>
                <w:sz w:val="28"/>
                <w:szCs w:val="28"/>
                <w:lang w:val="en-US" w:eastAsia="zh-CN"/>
              </w:rPr>
              <w:t>加快推进</w:t>
            </w:r>
            <w:r>
              <w:rPr>
                <w:rFonts w:eastAsia="仿宋_GB2312" w:cs="Times New Roman"/>
                <w:kern w:val="2"/>
                <w:sz w:val="28"/>
                <w:szCs w:val="28"/>
              </w:rPr>
              <w:t>江汽年产10万台重卡项目</w:t>
            </w:r>
            <w:r>
              <w:rPr>
                <w:rFonts w:hint="eastAsia" w:eastAsia="仿宋_GB2312" w:cs="Times New Roman"/>
                <w:kern w:val="2"/>
                <w:sz w:val="28"/>
                <w:szCs w:val="28"/>
                <w:lang w:eastAsia="zh-CN"/>
              </w:rPr>
              <w:t>、</w:t>
            </w:r>
            <w:r>
              <w:rPr>
                <w:rFonts w:eastAsia="仿宋_GB2312" w:cs="Times New Roman"/>
                <w:kern w:val="2"/>
                <w:sz w:val="28"/>
                <w:szCs w:val="28"/>
              </w:rPr>
              <w:t>欣奕华年产2吨OLED材料项目</w:t>
            </w:r>
            <w:r>
              <w:rPr>
                <w:rFonts w:hint="eastAsia" w:eastAsia="仿宋_GB2312" w:cs="Times New Roman"/>
                <w:kern w:val="2"/>
                <w:sz w:val="28"/>
                <w:szCs w:val="28"/>
                <w:lang w:eastAsia="zh-CN"/>
              </w:rPr>
              <w:t>、</w:t>
            </w:r>
            <w:r>
              <w:rPr>
                <w:rFonts w:eastAsia="仿宋_GB2312" w:cs="Times New Roman"/>
                <w:kern w:val="2"/>
                <w:sz w:val="28"/>
                <w:szCs w:val="28"/>
              </w:rPr>
              <w:t>东方电气氢能产业项目</w:t>
            </w:r>
            <w:r>
              <w:rPr>
                <w:rFonts w:hint="eastAsia" w:eastAsia="仿宋_GB2312" w:cs="Times New Roman"/>
                <w:kern w:val="2"/>
                <w:sz w:val="28"/>
                <w:szCs w:val="28"/>
                <w:lang w:val="en-US" w:eastAsia="zh-CN"/>
              </w:rPr>
              <w:t>等重大项目建设，实现园区营业收入超400亿元</w:t>
            </w:r>
            <w:r>
              <w:rPr>
                <w:rFonts w:hint="default" w:eastAsia="仿宋_GB2312" w:cs="Times New Roman"/>
                <w:kern w:val="2"/>
                <w:sz w:val="28"/>
                <w:szCs w:val="28"/>
                <w:lang w:val="en-US" w:eastAsia="zh-CN"/>
              </w:rPr>
              <w:t>，</w:t>
            </w:r>
            <w:r>
              <w:rPr>
                <w:rFonts w:hint="eastAsia" w:eastAsia="仿宋_GB2312" w:cs="Times New Roman"/>
                <w:kern w:val="2"/>
                <w:sz w:val="28"/>
                <w:szCs w:val="28"/>
                <w:lang w:val="en-US" w:eastAsia="zh-CN"/>
              </w:rPr>
              <w:t>将园区</w:t>
            </w:r>
            <w:r>
              <w:rPr>
                <w:rFonts w:hint="eastAsia" w:eastAsia="仿宋_GB2312" w:cs="Times New Roman"/>
                <w:kern w:val="2"/>
                <w:sz w:val="28"/>
                <w:szCs w:val="28"/>
                <w:lang w:val="en-US" w:eastAsia="zh-CN" w:bidi="ar-SA"/>
              </w:rPr>
              <w:t>打造成</w:t>
            </w:r>
            <w:r>
              <w:rPr>
                <w:rFonts w:hint="default" w:eastAsia="仿宋_GB2312" w:cs="Times New Roman" w:asciiTheme="minorHAnsi" w:hAnsiTheme="minorHAnsi"/>
                <w:kern w:val="2"/>
                <w:sz w:val="28"/>
                <w:szCs w:val="28"/>
                <w:lang w:val="en-US" w:eastAsia="zh-CN" w:bidi="ar-SA"/>
              </w:rPr>
              <w:t>引领皖北发展的现代产业新城</w:t>
            </w:r>
            <w:r>
              <w:rPr>
                <w:rFonts w:hint="eastAsia" w:ascii="Times New Roman" w:hAnsi="Times New Roman" w:eastAsia="仿宋_GB2312" w:cs="Times New Roman"/>
                <w:sz w:val="28"/>
                <w:szCs w:val="28"/>
              </w:rPr>
              <w:t>。</w:t>
            </w:r>
          </w:p>
          <w:p w14:paraId="3DC4763A">
            <w:pPr>
              <w:keepNext w:val="0"/>
              <w:keepLines w:val="0"/>
              <w:pageBreakBefore w:val="0"/>
              <w:widowControl w:val="0"/>
              <w:kinsoku/>
              <w:wordWrap/>
              <w:overflowPunct/>
              <w:topLinePunct w:val="0"/>
              <w:autoSpaceDE/>
              <w:autoSpaceDN/>
              <w:bidi w:val="0"/>
              <w:adjustRightInd/>
              <w:snapToGrid/>
              <w:spacing w:line="600" w:lineRule="exact"/>
              <w:ind w:firstLine="562" w:firstLineChars="200"/>
              <w:textAlignment w:val="auto"/>
              <w:rPr>
                <w:rFonts w:hint="eastAsia" w:ascii="Times New Roman" w:hAnsi="Times New Roman" w:eastAsia="仿宋_GB2312" w:cs="Times New Roman"/>
                <w:sz w:val="28"/>
                <w:szCs w:val="28"/>
              </w:rPr>
            </w:pPr>
            <w:r>
              <w:rPr>
                <w:rFonts w:hint="eastAsia" w:ascii="Times New Roman" w:hAnsi="Times New Roman" w:eastAsia="仿宋_GB2312" w:cs="Times New Roman"/>
                <w:b/>
                <w:bCs/>
                <w:sz w:val="28"/>
                <w:szCs w:val="28"/>
              </w:rPr>
              <w:t>安徽阜阳经济开发区。</w:t>
            </w:r>
            <w:r>
              <w:rPr>
                <w:rFonts w:hint="eastAsia" w:ascii="Times New Roman" w:hAnsi="Times New Roman" w:eastAsia="仿宋_GB2312" w:cs="Times New Roman"/>
                <w:sz w:val="28"/>
                <w:szCs w:val="28"/>
                <w:lang w:val="en-US" w:eastAsia="zh-CN"/>
              </w:rPr>
              <w:t>园区</w:t>
            </w:r>
            <w:r>
              <w:rPr>
                <w:rFonts w:hint="eastAsia" w:ascii="Times New Roman" w:hAnsi="Times New Roman" w:eastAsia="仿宋_GB2312" w:cs="Times New Roman"/>
                <w:sz w:val="28"/>
                <w:szCs w:val="28"/>
              </w:rPr>
              <w:t>规划面积47平方公里，建成区面积34平方公里</w:t>
            </w: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lang w:val="en-US" w:eastAsia="zh-CN"/>
              </w:rPr>
              <w:t>规上</w:t>
            </w:r>
            <w:r>
              <w:rPr>
                <w:rFonts w:hint="eastAsia" w:ascii="Times New Roman" w:hAnsi="Times New Roman" w:eastAsia="仿宋_GB2312" w:cs="Times New Roman"/>
                <w:sz w:val="28"/>
                <w:szCs w:val="28"/>
              </w:rPr>
              <w:t>工业企业100</w:t>
            </w:r>
            <w:r>
              <w:rPr>
                <w:rFonts w:hint="eastAsia" w:ascii="Times New Roman" w:hAnsi="Times New Roman" w:eastAsia="仿宋_GB2312" w:cs="Times New Roman"/>
                <w:sz w:val="28"/>
                <w:szCs w:val="28"/>
                <w:lang w:val="en-US" w:eastAsia="zh-CN"/>
              </w:rPr>
              <w:t>余</w:t>
            </w:r>
            <w:r>
              <w:rPr>
                <w:rFonts w:hint="eastAsia" w:ascii="Times New Roman" w:hAnsi="Times New Roman" w:eastAsia="仿宋_GB2312" w:cs="Times New Roman"/>
                <w:sz w:val="28"/>
                <w:szCs w:val="28"/>
              </w:rPr>
              <w:t>家，拥有阜阳汽贸物流园、阜阳医药配送中心等7个专业大市场，商业、服务业日趋健全。</w:t>
            </w:r>
            <w:r>
              <w:rPr>
                <w:rFonts w:hint="eastAsia" w:ascii="Times New Roman" w:hAnsi="Times New Roman" w:eastAsia="仿宋_GB2312" w:cs="Times New Roman"/>
                <w:sz w:val="28"/>
                <w:szCs w:val="28"/>
                <w:lang w:val="en-US" w:eastAsia="zh-CN"/>
              </w:rPr>
              <w:t>“十四五”期间，园区围绕</w:t>
            </w:r>
            <w:r>
              <w:rPr>
                <w:rFonts w:hint="eastAsia" w:ascii="Times New Roman" w:hAnsi="Times New Roman" w:eastAsia="仿宋_GB2312" w:cs="Times New Roman"/>
                <w:kern w:val="2"/>
                <w:sz w:val="28"/>
                <w:szCs w:val="28"/>
                <w:lang w:val="en-US" w:eastAsia="zh-CN" w:bidi="ar-SA"/>
              </w:rPr>
              <w:t>智能装备制造、纺织服装、食品医药、新能源新材料、绿色建筑建材五大主导产业，</w:t>
            </w:r>
            <w:r>
              <w:rPr>
                <w:rFonts w:hint="eastAsia" w:ascii="Times New Roman" w:hAnsi="Times New Roman" w:eastAsia="仿宋_GB2312" w:cs="Times New Roman"/>
                <w:sz w:val="28"/>
                <w:szCs w:val="28"/>
                <w:lang w:val="en-US" w:eastAsia="zh-CN"/>
              </w:rPr>
              <w:t>加快推进安徽（台州）智能制造产业基地项目、20GWN型超高效硅片及关联产业投资项目等重大项目建设,将园区</w:t>
            </w:r>
            <w:r>
              <w:rPr>
                <w:rFonts w:hint="eastAsia" w:ascii="Times New Roman" w:hAnsi="Times New Roman" w:eastAsia="仿宋_GB2312" w:cs="Times New Roman"/>
                <w:kern w:val="2"/>
                <w:sz w:val="28"/>
                <w:szCs w:val="28"/>
                <w:lang w:val="en-US" w:eastAsia="zh-CN" w:bidi="ar-SA"/>
              </w:rPr>
              <w:t>打造承接长三角产业转移集聚区试验区</w:t>
            </w:r>
            <w:r>
              <w:rPr>
                <w:rFonts w:hint="eastAsia" w:ascii="Times New Roman" w:hAnsi="Times New Roman" w:eastAsia="仿宋_GB2312" w:cs="Times New Roman"/>
                <w:sz w:val="28"/>
                <w:szCs w:val="28"/>
              </w:rPr>
              <w:t>。</w:t>
            </w:r>
          </w:p>
          <w:p w14:paraId="4D156DEA">
            <w:pPr>
              <w:pStyle w:val="23"/>
              <w:keepNext w:val="0"/>
              <w:keepLines w:val="0"/>
              <w:pageBreakBefore w:val="0"/>
              <w:widowControl w:val="0"/>
              <w:kinsoku/>
              <w:wordWrap/>
              <w:overflowPunct/>
              <w:topLinePunct w:val="0"/>
              <w:autoSpaceDE/>
              <w:autoSpaceDN/>
              <w:bidi w:val="0"/>
              <w:adjustRightInd/>
              <w:snapToGrid/>
              <w:spacing w:after="0" w:line="600" w:lineRule="exact"/>
              <w:ind w:left="0" w:leftChars="0" w:firstLine="562"/>
              <w:textAlignment w:val="auto"/>
              <w:rPr>
                <w:rFonts w:hint="eastAsia" w:ascii="Times New Roman" w:hAnsi="Times New Roman" w:eastAsia="仿宋_GB2312" w:cs="Times New Roman"/>
                <w:sz w:val="28"/>
                <w:szCs w:val="28"/>
              </w:rPr>
            </w:pPr>
            <w:r>
              <w:rPr>
                <w:rFonts w:hint="eastAsia" w:ascii="Times New Roman" w:hAnsi="Times New Roman" w:eastAsia="仿宋_GB2312" w:cs="Times New Roman"/>
                <w:b/>
                <w:bCs/>
                <w:sz w:val="28"/>
                <w:szCs w:val="28"/>
              </w:rPr>
              <w:t>阜阳界首高新技术产业开发区。</w:t>
            </w:r>
            <w:r>
              <w:rPr>
                <w:rFonts w:hint="eastAsia" w:ascii="Times New Roman" w:hAnsi="Times New Roman" w:eastAsia="仿宋_GB2312" w:cs="Times New Roman"/>
                <w:sz w:val="28"/>
                <w:szCs w:val="28"/>
                <w:lang w:val="en-US" w:eastAsia="zh-CN"/>
              </w:rPr>
              <w:t>园区规划</w:t>
            </w:r>
            <w:r>
              <w:rPr>
                <w:rFonts w:hint="eastAsia" w:ascii="Times New Roman" w:hAnsi="Times New Roman" w:eastAsia="仿宋_GB2312" w:cs="Times New Roman"/>
                <w:sz w:val="28"/>
                <w:szCs w:val="28"/>
              </w:rPr>
              <w:t>面积38.08平方公里，建成区面积为12.8平方公里，规上工业企业27</w:t>
            </w:r>
            <w:r>
              <w:rPr>
                <w:rFonts w:hint="eastAsia" w:ascii="Times New Roman" w:hAnsi="Times New Roman" w:eastAsia="仿宋_GB2312" w:cs="Times New Roman"/>
                <w:sz w:val="28"/>
                <w:szCs w:val="28"/>
                <w:lang w:val="en-US" w:eastAsia="zh-CN"/>
              </w:rPr>
              <w:t>0余</w:t>
            </w:r>
            <w:r>
              <w:rPr>
                <w:rFonts w:hint="eastAsia" w:ascii="Times New Roman" w:hAnsi="Times New Roman" w:eastAsia="仿宋_GB2312" w:cs="Times New Roman"/>
                <w:sz w:val="28"/>
                <w:szCs w:val="28"/>
              </w:rPr>
              <w:t>家</w:t>
            </w: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rPr>
              <w:t>由田营、西城、光武、东城</w:t>
            </w: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rPr>
              <w:t>北城</w:t>
            </w:r>
            <w:r>
              <w:rPr>
                <w:rFonts w:hint="eastAsia" w:ascii="Times New Roman" w:hAnsi="Times New Roman" w:eastAsia="仿宋_GB2312" w:cs="Times New Roman"/>
                <w:sz w:val="28"/>
                <w:szCs w:val="28"/>
                <w:lang w:val="en-US" w:eastAsia="zh-CN"/>
              </w:rPr>
              <w:t>五</w:t>
            </w:r>
            <w:r>
              <w:rPr>
                <w:rFonts w:hint="eastAsia" w:ascii="Times New Roman" w:hAnsi="Times New Roman" w:eastAsia="仿宋_GB2312" w:cs="Times New Roman"/>
                <w:sz w:val="28"/>
                <w:szCs w:val="28"/>
              </w:rPr>
              <w:t>个科技园组成</w:t>
            </w: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rPr>
              <w:t>连续四年进入省级开发区综合考核前14强。</w:t>
            </w: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lang w:val="en-US" w:eastAsia="zh-CN"/>
              </w:rPr>
              <w:t>十四五</w:t>
            </w: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lang w:val="en-US" w:eastAsia="zh-CN"/>
              </w:rPr>
              <w:t>期间，园区围绕节能环保、营养健康、智能机械、纺织服装等主导产业，加快推进华拓科技年产6GWh新能源锂电池项目、银河皮革军用特种服装生产和研发军民融合示范园项目等重大项目建设，力争园区营业收入达到1700亿元</w:t>
            </w:r>
            <w:r>
              <w:rPr>
                <w:rFonts w:hint="eastAsia" w:ascii="Times New Roman" w:hAnsi="Times New Roman" w:eastAsia="仿宋_GB2312" w:cs="Times New Roman"/>
                <w:kern w:val="2"/>
                <w:sz w:val="28"/>
                <w:szCs w:val="28"/>
                <w:lang w:val="en-US" w:eastAsia="zh-CN" w:bidi="ar-SA"/>
              </w:rPr>
              <w:t>，将园区打造成阜阳发展增长极。</w:t>
            </w:r>
          </w:p>
          <w:p w14:paraId="74747666">
            <w:pPr>
              <w:pStyle w:val="23"/>
              <w:keepNext w:val="0"/>
              <w:keepLines w:val="0"/>
              <w:pageBreakBefore w:val="0"/>
              <w:widowControl w:val="0"/>
              <w:kinsoku/>
              <w:wordWrap/>
              <w:overflowPunct/>
              <w:topLinePunct w:val="0"/>
              <w:autoSpaceDE/>
              <w:autoSpaceDN/>
              <w:bidi w:val="0"/>
              <w:adjustRightInd/>
              <w:snapToGrid/>
              <w:spacing w:after="0" w:line="600" w:lineRule="exact"/>
              <w:ind w:left="0" w:leftChars="0" w:firstLine="562"/>
              <w:textAlignment w:val="auto"/>
              <w:rPr>
                <w:rFonts w:ascii="仿宋_GB2312" w:eastAsia="仿宋_GB2312" w:cs="Times New Roman"/>
                <w:sz w:val="28"/>
                <w:szCs w:val="28"/>
              </w:rPr>
            </w:pPr>
            <w:r>
              <w:rPr>
                <w:rFonts w:hint="eastAsia" w:ascii="仿宋_GB2312" w:eastAsia="仿宋_GB2312" w:cs="Times New Roman"/>
                <w:b/>
                <w:bCs/>
                <w:sz w:val="28"/>
                <w:szCs w:val="28"/>
              </w:rPr>
              <w:t>安徽临泉经济开发区。</w:t>
            </w:r>
            <w:r>
              <w:rPr>
                <w:rFonts w:hint="eastAsia" w:ascii="仿宋_GB2312" w:eastAsia="仿宋_GB2312" w:cs="Times New Roman"/>
                <w:b w:val="0"/>
                <w:bCs w:val="0"/>
                <w:sz w:val="28"/>
                <w:szCs w:val="28"/>
                <w:lang w:val="en-US" w:eastAsia="zh-CN"/>
              </w:rPr>
              <w:t>园区</w:t>
            </w:r>
            <w:r>
              <w:rPr>
                <w:rFonts w:hint="eastAsia" w:ascii="仿宋_GB2312" w:eastAsia="仿宋_GB2312" w:cs="Times New Roman"/>
                <w:b w:val="0"/>
                <w:bCs w:val="0"/>
                <w:sz w:val="28"/>
                <w:szCs w:val="28"/>
              </w:rPr>
              <w:t>规划面积31.2</w:t>
            </w:r>
            <w:r>
              <w:rPr>
                <w:rFonts w:hint="eastAsia" w:ascii="仿宋_GB2312" w:eastAsia="仿宋_GB2312" w:cs="Times New Roman"/>
                <w:b w:val="0"/>
                <w:bCs w:val="0"/>
                <w:sz w:val="28"/>
                <w:szCs w:val="28"/>
                <w:lang w:val="en-US" w:eastAsia="zh-CN"/>
              </w:rPr>
              <w:t>3</w:t>
            </w:r>
            <w:r>
              <w:rPr>
                <w:rFonts w:hint="eastAsia" w:ascii="仿宋_GB2312" w:eastAsia="仿宋_GB2312" w:cs="Times New Roman"/>
                <w:b w:val="0"/>
                <w:bCs w:val="0"/>
                <w:sz w:val="28"/>
                <w:szCs w:val="28"/>
              </w:rPr>
              <w:t>平方公里，建成区面积</w:t>
            </w:r>
            <w:r>
              <w:rPr>
                <w:rFonts w:hint="eastAsia" w:ascii="仿宋_GB2312" w:eastAsia="仿宋_GB2312" w:cs="Times New Roman"/>
                <w:b w:val="0"/>
                <w:bCs w:val="0"/>
                <w:sz w:val="28"/>
                <w:szCs w:val="28"/>
                <w:lang w:val="en-US" w:eastAsia="zh-CN"/>
              </w:rPr>
              <w:t>12.11</w:t>
            </w:r>
            <w:r>
              <w:rPr>
                <w:rFonts w:hint="eastAsia" w:ascii="仿宋_GB2312" w:eastAsia="仿宋_GB2312" w:cs="Times New Roman"/>
                <w:b w:val="0"/>
                <w:bCs w:val="0"/>
                <w:sz w:val="28"/>
                <w:szCs w:val="28"/>
              </w:rPr>
              <w:t>平方公里</w:t>
            </w:r>
            <w:r>
              <w:rPr>
                <w:rFonts w:hint="eastAsia" w:ascii="仿宋_GB2312" w:eastAsia="仿宋_GB2312" w:cs="Times New Roman"/>
                <w:b w:val="0"/>
                <w:bCs w:val="0"/>
                <w:sz w:val="28"/>
                <w:szCs w:val="28"/>
                <w:lang w:val="en-US" w:eastAsia="zh-CN"/>
              </w:rPr>
              <w:t>，规上工业企业76家，</w:t>
            </w:r>
            <w:r>
              <w:rPr>
                <w:rFonts w:hint="eastAsia" w:ascii="仿宋_GB2312" w:eastAsia="仿宋_GB2312" w:cs="Times New Roman"/>
                <w:b w:val="0"/>
                <w:bCs w:val="0"/>
                <w:sz w:val="28"/>
                <w:szCs w:val="28"/>
              </w:rPr>
              <w:t>形成了围绕县经济经开区（临庐产业园）为核心，杨桥食品产业园、宋集纺织产业园、鲖城皮革产业园协同发展的“一区三园”格局。</w:t>
            </w:r>
            <w:r>
              <w:rPr>
                <w:rFonts w:hint="eastAsia" w:ascii="仿宋_GB2312" w:eastAsia="仿宋_GB2312" w:cs="Times New Roman"/>
                <w:b w:val="0"/>
                <w:bCs w:val="0"/>
                <w:sz w:val="28"/>
                <w:szCs w:val="28"/>
                <w:lang w:eastAsia="zh-CN"/>
              </w:rPr>
              <w:t>“</w:t>
            </w:r>
            <w:r>
              <w:rPr>
                <w:rFonts w:hint="eastAsia" w:ascii="仿宋_GB2312" w:eastAsia="仿宋_GB2312" w:cs="Times New Roman"/>
                <w:b w:val="0"/>
                <w:bCs w:val="0"/>
                <w:sz w:val="28"/>
                <w:szCs w:val="28"/>
                <w:lang w:val="en-US" w:eastAsia="zh-CN"/>
              </w:rPr>
              <w:t>十四五</w:t>
            </w:r>
            <w:r>
              <w:rPr>
                <w:rFonts w:hint="eastAsia" w:ascii="仿宋_GB2312" w:eastAsia="仿宋_GB2312" w:cs="Times New Roman"/>
                <w:b w:val="0"/>
                <w:bCs w:val="0"/>
                <w:sz w:val="28"/>
                <w:szCs w:val="28"/>
                <w:lang w:eastAsia="zh-CN"/>
              </w:rPr>
              <w:t>”</w:t>
            </w:r>
            <w:r>
              <w:rPr>
                <w:rFonts w:hint="eastAsia" w:ascii="仿宋_GB2312" w:eastAsia="仿宋_GB2312" w:cs="Times New Roman"/>
                <w:b w:val="0"/>
                <w:bCs w:val="0"/>
                <w:sz w:val="28"/>
                <w:szCs w:val="28"/>
                <w:lang w:val="en-US" w:eastAsia="zh-CN"/>
              </w:rPr>
              <w:t>期间，园区围绕绿色食品加工、精细化工、机械电子、纺织服装、皮革加工“1+4”特色产业，加快推进临泉碧根果食品产业园项目、临泉县佳海工业园等重大项目建设，</w:t>
            </w:r>
            <w:r>
              <w:rPr>
                <w:rFonts w:hint="eastAsia" w:ascii="仿宋_GB2312" w:eastAsia="仿宋_GB2312" w:cs="Times New Roman" w:hAnsiTheme="minorHAnsi"/>
                <w:kern w:val="2"/>
                <w:sz w:val="28"/>
                <w:szCs w:val="28"/>
                <w:lang w:val="en-US" w:eastAsia="zh-CN" w:bidi="ar-SA"/>
              </w:rPr>
              <w:t>将园区打造成县域经济的重要增长点</w:t>
            </w:r>
            <w:r>
              <w:rPr>
                <w:rFonts w:hint="eastAsia" w:ascii="仿宋_GB2312" w:eastAsia="仿宋_GB2312" w:cs="Times New Roman"/>
                <w:sz w:val="28"/>
                <w:szCs w:val="28"/>
              </w:rPr>
              <w:t>。</w:t>
            </w:r>
          </w:p>
          <w:p w14:paraId="69282E7B">
            <w:pPr>
              <w:pStyle w:val="23"/>
              <w:keepNext w:val="0"/>
              <w:keepLines w:val="0"/>
              <w:pageBreakBefore w:val="0"/>
              <w:widowControl w:val="0"/>
              <w:kinsoku/>
              <w:wordWrap/>
              <w:overflowPunct/>
              <w:topLinePunct w:val="0"/>
              <w:autoSpaceDE/>
              <w:autoSpaceDN/>
              <w:bidi w:val="0"/>
              <w:adjustRightInd/>
              <w:snapToGrid/>
              <w:spacing w:after="0" w:line="600" w:lineRule="exact"/>
              <w:ind w:left="0" w:leftChars="0" w:firstLine="562"/>
              <w:textAlignment w:val="auto"/>
              <w:rPr>
                <w:rFonts w:ascii="仿宋_GB2312" w:eastAsia="仿宋_GB2312" w:cs="Times New Roman"/>
                <w:sz w:val="28"/>
                <w:szCs w:val="28"/>
              </w:rPr>
            </w:pPr>
            <w:r>
              <w:rPr>
                <w:rFonts w:hint="eastAsia" w:ascii="Times New Roman" w:hAnsi="Times New Roman" w:eastAsia="仿宋_GB2312" w:cs="Times New Roman"/>
                <w:b/>
                <w:bCs/>
                <w:sz w:val="28"/>
                <w:szCs w:val="28"/>
              </w:rPr>
              <w:t>安徽太和经济开发区。</w:t>
            </w:r>
            <w:r>
              <w:rPr>
                <w:rFonts w:hint="eastAsia" w:ascii="Times New Roman" w:hAnsi="Times New Roman" w:eastAsia="仿宋_GB2312" w:cs="Times New Roman"/>
                <w:b w:val="0"/>
                <w:bCs w:val="0"/>
                <w:sz w:val="28"/>
                <w:szCs w:val="28"/>
              </w:rPr>
              <w:t>园区规划面积13.2平方公里</w:t>
            </w:r>
            <w:r>
              <w:rPr>
                <w:rFonts w:hint="eastAsia" w:ascii="Times New Roman" w:hAnsi="Times New Roman" w:eastAsia="仿宋_GB2312" w:cs="Times New Roman"/>
                <w:b w:val="0"/>
                <w:bCs w:val="0"/>
                <w:sz w:val="28"/>
                <w:szCs w:val="28"/>
                <w:lang w:eastAsia="zh-CN"/>
              </w:rPr>
              <w:t>，</w:t>
            </w:r>
            <w:r>
              <w:rPr>
                <w:rFonts w:hint="eastAsia" w:ascii="Times New Roman" w:hAnsi="Times New Roman" w:eastAsia="仿宋_GB2312" w:cs="Times New Roman"/>
                <w:b w:val="0"/>
                <w:bCs w:val="0"/>
                <w:sz w:val="28"/>
                <w:szCs w:val="28"/>
              </w:rPr>
              <w:t>规上</w:t>
            </w:r>
            <w:r>
              <w:rPr>
                <w:rFonts w:hint="eastAsia" w:ascii="Times New Roman" w:hAnsi="Times New Roman" w:eastAsia="仿宋_GB2312" w:cs="Times New Roman"/>
                <w:b w:val="0"/>
                <w:bCs w:val="0"/>
                <w:sz w:val="28"/>
                <w:szCs w:val="28"/>
                <w:lang w:val="en-US" w:eastAsia="zh-CN"/>
              </w:rPr>
              <w:t>工业</w:t>
            </w:r>
            <w:r>
              <w:rPr>
                <w:rFonts w:hint="eastAsia" w:ascii="Times New Roman" w:hAnsi="Times New Roman" w:eastAsia="仿宋_GB2312" w:cs="Times New Roman"/>
                <w:b w:val="0"/>
                <w:bCs w:val="0"/>
                <w:sz w:val="28"/>
                <w:szCs w:val="28"/>
              </w:rPr>
              <w:t>企业</w:t>
            </w:r>
            <w:r>
              <w:rPr>
                <w:rFonts w:hint="eastAsia" w:ascii="Times New Roman" w:hAnsi="Times New Roman" w:eastAsia="仿宋_GB2312" w:cs="Times New Roman"/>
                <w:b w:val="0"/>
                <w:bCs w:val="0"/>
                <w:sz w:val="28"/>
                <w:szCs w:val="28"/>
                <w:lang w:val="en-US" w:eastAsia="zh-CN"/>
              </w:rPr>
              <w:t>70余</w:t>
            </w:r>
            <w:r>
              <w:rPr>
                <w:rFonts w:hint="eastAsia" w:ascii="Times New Roman" w:hAnsi="Times New Roman" w:eastAsia="仿宋_GB2312" w:cs="Times New Roman"/>
                <w:b w:val="0"/>
                <w:bCs w:val="0"/>
                <w:sz w:val="28"/>
                <w:szCs w:val="28"/>
              </w:rPr>
              <w:t>家，高新技术企业</w:t>
            </w:r>
            <w:r>
              <w:rPr>
                <w:rFonts w:hint="eastAsia" w:ascii="Times New Roman" w:hAnsi="Times New Roman" w:eastAsia="仿宋_GB2312" w:cs="Times New Roman"/>
                <w:b w:val="0"/>
                <w:bCs w:val="0"/>
                <w:sz w:val="28"/>
                <w:szCs w:val="28"/>
                <w:lang w:val="en-US" w:eastAsia="zh-CN"/>
              </w:rPr>
              <w:t>近30</w:t>
            </w:r>
            <w:r>
              <w:rPr>
                <w:rFonts w:hint="eastAsia" w:ascii="Times New Roman" w:hAnsi="Times New Roman" w:eastAsia="仿宋_GB2312" w:cs="Times New Roman"/>
                <w:b w:val="0"/>
                <w:bCs w:val="0"/>
                <w:sz w:val="28"/>
                <w:szCs w:val="28"/>
              </w:rPr>
              <w:t>家</w:t>
            </w:r>
            <w:r>
              <w:rPr>
                <w:rFonts w:hint="eastAsia" w:ascii="Times New Roman" w:hAnsi="Times New Roman" w:eastAsia="仿宋_GB2312" w:cs="Times New Roman"/>
                <w:b w:val="0"/>
                <w:bCs w:val="0"/>
                <w:sz w:val="28"/>
                <w:szCs w:val="28"/>
                <w:lang w:eastAsia="zh-CN"/>
              </w:rPr>
              <w:t>，</w:t>
            </w:r>
            <w:r>
              <w:rPr>
                <w:rFonts w:hint="eastAsia" w:ascii="Times New Roman" w:hAnsi="Times New Roman" w:eastAsia="仿宋_GB2312" w:cs="Times New Roman"/>
                <w:b w:val="0"/>
                <w:bCs w:val="0"/>
                <w:sz w:val="28"/>
                <w:szCs w:val="28"/>
                <w:lang w:val="en-US" w:eastAsia="zh-CN"/>
              </w:rPr>
              <w:t>形成了</w:t>
            </w:r>
            <w:r>
              <w:rPr>
                <w:rFonts w:hint="eastAsia" w:ascii="Times New Roman" w:hAnsi="Times New Roman" w:eastAsia="仿宋_GB2312" w:cs="Times New Roman"/>
                <w:b w:val="0"/>
                <w:bCs w:val="0"/>
                <w:sz w:val="28"/>
                <w:szCs w:val="28"/>
              </w:rPr>
              <w:t>以生物医药为主导，发艺文化、筛网滤布、绿色新能源三大特色产业竞相迸发的产业格局。</w:t>
            </w:r>
            <w:r>
              <w:rPr>
                <w:rFonts w:hint="eastAsia" w:ascii="Times New Roman" w:hAnsi="Times New Roman" w:eastAsia="仿宋_GB2312" w:cs="Times New Roman"/>
                <w:b w:val="0"/>
                <w:bCs w:val="0"/>
                <w:sz w:val="28"/>
                <w:szCs w:val="28"/>
                <w:lang w:eastAsia="zh-CN"/>
              </w:rPr>
              <w:t>“</w:t>
            </w:r>
            <w:r>
              <w:rPr>
                <w:rFonts w:hint="eastAsia" w:ascii="Times New Roman" w:hAnsi="Times New Roman" w:eastAsia="仿宋_GB2312" w:cs="Times New Roman"/>
                <w:b w:val="0"/>
                <w:bCs w:val="0"/>
                <w:sz w:val="28"/>
                <w:szCs w:val="28"/>
                <w:lang w:val="en-US" w:eastAsia="zh-CN"/>
              </w:rPr>
              <w:t>十四五</w:t>
            </w:r>
            <w:r>
              <w:rPr>
                <w:rFonts w:hint="eastAsia" w:ascii="Times New Roman" w:hAnsi="Times New Roman" w:eastAsia="仿宋_GB2312" w:cs="Times New Roman"/>
                <w:b w:val="0"/>
                <w:bCs w:val="0"/>
                <w:sz w:val="28"/>
                <w:szCs w:val="28"/>
                <w:lang w:eastAsia="zh-CN"/>
              </w:rPr>
              <w:t>”</w:t>
            </w:r>
            <w:r>
              <w:rPr>
                <w:rFonts w:hint="eastAsia" w:ascii="Times New Roman" w:hAnsi="Times New Roman" w:eastAsia="仿宋_GB2312" w:cs="Times New Roman"/>
                <w:b w:val="0"/>
                <w:bCs w:val="0"/>
                <w:sz w:val="28"/>
                <w:szCs w:val="28"/>
                <w:lang w:val="en-US" w:eastAsia="zh-CN"/>
              </w:rPr>
              <w:t>期间，园区</w:t>
            </w:r>
            <w:r>
              <w:rPr>
                <w:rFonts w:hint="eastAsia" w:ascii="Times New Roman" w:hAnsi="Times New Roman" w:eastAsia="仿宋_GB2312" w:cs="Times New Roman"/>
                <w:b w:val="0"/>
                <w:bCs w:val="0"/>
                <w:sz w:val="28"/>
                <w:szCs w:val="28"/>
              </w:rPr>
              <w:t>重</w:t>
            </w:r>
            <w:r>
              <w:rPr>
                <w:rFonts w:hint="eastAsia" w:ascii="Times New Roman" w:hAnsi="Times New Roman" w:eastAsia="仿宋_GB2312" w:cs="Times New Roman"/>
                <w:sz w:val="28"/>
                <w:szCs w:val="28"/>
              </w:rPr>
              <w:t>点</w:t>
            </w:r>
            <w:r>
              <w:rPr>
                <w:rFonts w:hint="eastAsia" w:ascii="Times New Roman" w:hAnsi="Times New Roman" w:eastAsia="仿宋_GB2312" w:cs="Times New Roman"/>
                <w:sz w:val="28"/>
                <w:szCs w:val="28"/>
                <w:lang w:val="en-US" w:eastAsia="zh-CN"/>
              </w:rPr>
              <w:t>围绕</w:t>
            </w:r>
            <w:r>
              <w:rPr>
                <w:rFonts w:hint="eastAsia" w:ascii="Times New Roman" w:hAnsi="Times New Roman" w:eastAsia="仿宋_GB2312" w:cs="Times New Roman"/>
                <w:sz w:val="28"/>
                <w:szCs w:val="28"/>
              </w:rPr>
              <w:t>生物医药</w:t>
            </w: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rPr>
              <w:t>再生金属</w:t>
            </w: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rPr>
              <w:t>发艺</w:t>
            </w:r>
            <w:r>
              <w:rPr>
                <w:rFonts w:hint="eastAsia" w:ascii="Times New Roman" w:hAnsi="Times New Roman" w:eastAsia="仿宋_GB2312" w:cs="Times New Roman"/>
                <w:sz w:val="28"/>
                <w:szCs w:val="28"/>
                <w:lang w:val="en-US" w:eastAsia="zh-CN"/>
              </w:rPr>
              <w:t>等主导产业，加快推进太和保兴医药健康产业园特色原料药产业基地项目、中印国际医药产业合作试验区-国际医药高端制剂共享制造基地（二期）等重大项目建设，</w:t>
            </w:r>
            <w:r>
              <w:rPr>
                <w:rFonts w:hint="eastAsia" w:ascii="Times New Roman" w:hAnsi="Times New Roman" w:eastAsia="仿宋_GB2312" w:cs="Times New Roman"/>
                <w:kern w:val="2"/>
                <w:sz w:val="28"/>
                <w:szCs w:val="28"/>
                <w:lang w:val="en-US" w:eastAsia="zh-CN" w:bidi="ar-SA"/>
              </w:rPr>
              <w:t>依托太和全国性医药物流配送中心，建设国内重要的医药基地，将园区打造成皖北地区“工业化与城镇化”互动加快发展的示范园区</w:t>
            </w:r>
            <w:r>
              <w:rPr>
                <w:rFonts w:hint="eastAsia" w:ascii="Times New Roman" w:hAnsi="Times New Roman" w:eastAsia="仿宋_GB2312" w:cs="Times New Roman"/>
                <w:sz w:val="28"/>
                <w:szCs w:val="28"/>
              </w:rPr>
              <w:t>。</w:t>
            </w:r>
          </w:p>
          <w:p w14:paraId="5FC60581">
            <w:pPr>
              <w:pStyle w:val="23"/>
              <w:spacing w:line="600" w:lineRule="exact"/>
              <w:ind w:left="0" w:leftChars="0" w:firstLine="562"/>
              <w:rPr>
                <w:rFonts w:ascii="Times New Roman" w:hAnsi="Times New Roman" w:eastAsia="仿宋_GB2312" w:cs="Times New Roman"/>
                <w:sz w:val="28"/>
                <w:szCs w:val="28"/>
              </w:rPr>
            </w:pPr>
            <w:r>
              <w:rPr>
                <w:rFonts w:hint="eastAsia" w:ascii="Times New Roman" w:hAnsi="Times New Roman" w:eastAsia="仿宋_GB2312" w:cs="Times New Roman"/>
                <w:b/>
                <w:bCs/>
                <w:sz w:val="28"/>
                <w:szCs w:val="28"/>
              </w:rPr>
              <w:t>安徽阜阳颍泉经济开发区。</w:t>
            </w:r>
            <w:r>
              <w:rPr>
                <w:rFonts w:hint="eastAsia" w:ascii="Times New Roman" w:hAnsi="Times New Roman" w:eastAsia="仿宋_GB2312" w:cs="Times New Roman"/>
                <w:sz w:val="28"/>
                <w:szCs w:val="28"/>
              </w:rPr>
              <w:t>园区</w:t>
            </w:r>
            <w:r>
              <w:rPr>
                <w:rFonts w:hint="eastAsia" w:ascii="Times New Roman" w:hAnsi="Times New Roman" w:eastAsia="仿宋_GB2312" w:cs="Times New Roman"/>
                <w:sz w:val="28"/>
                <w:szCs w:val="28"/>
                <w:lang w:val="en-US" w:eastAsia="zh-CN"/>
              </w:rPr>
              <w:t>规划面积为24.95平方公里，规上工业企业75家，形成了以</w:t>
            </w:r>
            <w:r>
              <w:rPr>
                <w:rFonts w:hint="eastAsia" w:ascii="Times New Roman" w:hAnsi="Times New Roman" w:eastAsia="仿宋_GB2312" w:cs="Times New Roman"/>
                <w:sz w:val="28"/>
                <w:szCs w:val="28"/>
              </w:rPr>
              <w:t>颍泉经济开发区主区</w:t>
            </w: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rPr>
              <w:t>阜阳工业园区</w:t>
            </w: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rPr>
              <w:t>、阜阳循环经济园区及行流园区</w:t>
            </w:r>
            <w:r>
              <w:rPr>
                <w:rFonts w:hint="eastAsia" w:ascii="Times New Roman" w:hAnsi="Times New Roman" w:eastAsia="仿宋_GB2312" w:cs="Times New Roman"/>
                <w:sz w:val="28"/>
                <w:szCs w:val="28"/>
                <w:lang w:val="en-US" w:eastAsia="zh-CN"/>
              </w:rPr>
              <w:t>为主的</w:t>
            </w:r>
            <w:r>
              <w:rPr>
                <w:rFonts w:hint="eastAsia" w:ascii="Times New Roman" w:hAnsi="Times New Roman" w:eastAsia="仿宋_GB2312" w:cs="Times New Roman"/>
                <w:sz w:val="28"/>
                <w:szCs w:val="28"/>
              </w:rPr>
              <w:t>“一区两园”</w:t>
            </w:r>
            <w:r>
              <w:rPr>
                <w:rFonts w:hint="eastAsia" w:ascii="Times New Roman" w:hAnsi="Times New Roman" w:eastAsia="仿宋_GB2312" w:cs="Times New Roman"/>
                <w:sz w:val="28"/>
                <w:szCs w:val="28"/>
                <w:lang w:val="en-US" w:eastAsia="zh-CN"/>
              </w:rPr>
              <w:t>格局</w:t>
            </w: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rPr>
              <w:t>逐步成为颍泉智能制造产业发展的主战场。</w:t>
            </w: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lang w:val="en-US" w:eastAsia="zh-CN"/>
              </w:rPr>
              <w:t>十四五</w:t>
            </w: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lang w:val="en-US" w:eastAsia="zh-CN"/>
              </w:rPr>
              <w:t>期间，园区围绕智能制造</w:t>
            </w: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lang w:val="en-US" w:eastAsia="zh-CN"/>
              </w:rPr>
              <w:t>新材料、</w:t>
            </w:r>
            <w:r>
              <w:rPr>
                <w:rFonts w:hint="eastAsia" w:ascii="Times New Roman" w:hAnsi="Times New Roman" w:eastAsia="仿宋_GB2312" w:cs="Times New Roman"/>
                <w:sz w:val="28"/>
                <w:szCs w:val="28"/>
              </w:rPr>
              <w:t>新能源</w:t>
            </w: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rPr>
              <w:t>绿色建筑</w:t>
            </w:r>
            <w:r>
              <w:rPr>
                <w:rFonts w:hint="eastAsia" w:ascii="Times New Roman" w:hAnsi="Times New Roman" w:eastAsia="仿宋_GB2312" w:cs="Times New Roman"/>
                <w:sz w:val="28"/>
                <w:szCs w:val="28"/>
                <w:lang w:val="en-US" w:eastAsia="zh-CN"/>
              </w:rPr>
              <w:t>建材等</w:t>
            </w:r>
            <w:r>
              <w:rPr>
                <w:rFonts w:hint="eastAsia" w:ascii="Times New Roman" w:hAnsi="Times New Roman" w:eastAsia="仿宋_GB2312" w:cs="Times New Roman"/>
                <w:sz w:val="28"/>
                <w:szCs w:val="28"/>
              </w:rPr>
              <w:t>产业</w:t>
            </w: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lang w:val="en-US" w:eastAsia="zh-CN"/>
              </w:rPr>
              <w:t>加快推进阜阳市颍泉区5G智慧产业园建设项目、武汉英泰斯特汽车智能网联软硬件生产与制造项目、阜阳电厂二期扩建工程等重大项目建设，将园区</w:t>
            </w:r>
            <w:r>
              <w:rPr>
                <w:rFonts w:hint="eastAsia" w:ascii="Times New Roman" w:hAnsi="Times New Roman" w:eastAsia="仿宋_GB2312" w:cs="Times New Roman"/>
                <w:kern w:val="2"/>
                <w:sz w:val="28"/>
                <w:szCs w:val="28"/>
                <w:lang w:val="en-US" w:eastAsia="zh-CN" w:bidi="ar-SA"/>
              </w:rPr>
              <w:t>打造成阜阳智能制造产业园、智能制造产业承接转移示范区</w:t>
            </w:r>
            <w:r>
              <w:rPr>
                <w:rFonts w:hint="eastAsia" w:ascii="Times New Roman" w:hAnsi="Times New Roman" w:eastAsia="仿宋_GB2312" w:cs="Times New Roman"/>
                <w:sz w:val="28"/>
                <w:szCs w:val="28"/>
              </w:rPr>
              <w:t>。</w:t>
            </w:r>
          </w:p>
          <w:p w14:paraId="4619F735">
            <w:pPr>
              <w:pStyle w:val="23"/>
              <w:spacing w:line="600" w:lineRule="exact"/>
              <w:ind w:left="0" w:leftChars="0" w:firstLine="562"/>
              <w:rPr>
                <w:rFonts w:ascii="Times New Roman" w:hAnsi="Times New Roman" w:eastAsia="仿宋_GB2312" w:cs="Times New Roman"/>
                <w:sz w:val="28"/>
                <w:szCs w:val="28"/>
              </w:rPr>
            </w:pPr>
            <w:r>
              <w:rPr>
                <w:rFonts w:hint="eastAsia" w:ascii="Times New Roman" w:hAnsi="Times New Roman" w:eastAsia="仿宋_GB2312" w:cs="Times New Roman"/>
                <w:b/>
                <w:bCs/>
                <w:sz w:val="28"/>
                <w:szCs w:val="28"/>
              </w:rPr>
              <w:t>安徽颍上经济开发区。</w:t>
            </w:r>
            <w:r>
              <w:rPr>
                <w:rFonts w:hint="eastAsia" w:ascii="Times New Roman" w:hAnsi="Times New Roman" w:eastAsia="仿宋_GB2312" w:cs="Times New Roman"/>
                <w:b w:val="0"/>
                <w:bCs w:val="0"/>
                <w:sz w:val="28"/>
                <w:szCs w:val="28"/>
                <w:lang w:val="en-US" w:eastAsia="zh-CN"/>
              </w:rPr>
              <w:t>园区</w:t>
            </w:r>
            <w:r>
              <w:rPr>
                <w:rFonts w:hint="eastAsia" w:ascii="Times New Roman" w:hAnsi="Times New Roman" w:eastAsia="仿宋_GB2312" w:cs="Times New Roman"/>
                <w:b w:val="0"/>
                <w:bCs w:val="0"/>
                <w:sz w:val="28"/>
                <w:szCs w:val="28"/>
              </w:rPr>
              <w:t>规划面积30平方公里，建成</w:t>
            </w:r>
            <w:r>
              <w:rPr>
                <w:rFonts w:hint="eastAsia" w:ascii="Times New Roman" w:hAnsi="Times New Roman" w:eastAsia="仿宋_GB2312" w:cs="Times New Roman"/>
                <w:b w:val="0"/>
                <w:bCs w:val="0"/>
                <w:sz w:val="28"/>
                <w:szCs w:val="28"/>
                <w:lang w:val="en-US" w:eastAsia="zh-CN"/>
              </w:rPr>
              <w:t>区面积8.35</w:t>
            </w:r>
            <w:r>
              <w:rPr>
                <w:rFonts w:hint="eastAsia" w:ascii="Times New Roman" w:hAnsi="Times New Roman" w:eastAsia="仿宋_GB2312" w:cs="Times New Roman"/>
                <w:b w:val="0"/>
                <w:bCs w:val="0"/>
                <w:sz w:val="28"/>
                <w:szCs w:val="28"/>
              </w:rPr>
              <w:t>平方公里</w:t>
            </w:r>
            <w:r>
              <w:rPr>
                <w:rFonts w:hint="eastAsia" w:ascii="Times New Roman" w:hAnsi="Times New Roman" w:eastAsia="仿宋_GB2312" w:cs="Times New Roman"/>
                <w:b w:val="0"/>
                <w:bCs w:val="0"/>
                <w:sz w:val="28"/>
                <w:szCs w:val="28"/>
                <w:lang w:eastAsia="zh-CN"/>
              </w:rPr>
              <w:t>，</w:t>
            </w:r>
            <w:r>
              <w:rPr>
                <w:rFonts w:hint="eastAsia" w:ascii="Times New Roman" w:hAnsi="Times New Roman" w:eastAsia="仿宋_GB2312" w:cs="Times New Roman"/>
                <w:b w:val="0"/>
                <w:bCs w:val="0"/>
                <w:sz w:val="28"/>
                <w:szCs w:val="28"/>
                <w:lang w:val="en-US" w:eastAsia="zh-CN"/>
              </w:rPr>
              <w:t>形成了</w:t>
            </w:r>
            <w:r>
              <w:rPr>
                <w:rFonts w:hint="eastAsia" w:ascii="Times New Roman" w:hAnsi="Times New Roman" w:eastAsia="仿宋_GB2312" w:cs="Times New Roman"/>
                <w:b w:val="0"/>
                <w:bCs w:val="0"/>
                <w:sz w:val="28"/>
                <w:szCs w:val="28"/>
              </w:rPr>
              <w:t>纺织产业园、食品产业园、电子产业园和物流产业园</w:t>
            </w:r>
            <w:r>
              <w:rPr>
                <w:rFonts w:hint="eastAsia" w:ascii="Times New Roman" w:hAnsi="Times New Roman" w:eastAsia="仿宋_GB2312" w:cs="Times New Roman"/>
                <w:b w:val="0"/>
                <w:bCs w:val="0"/>
                <w:sz w:val="28"/>
                <w:szCs w:val="28"/>
                <w:lang w:val="en-US" w:eastAsia="zh-CN"/>
              </w:rPr>
              <w:t>等</w:t>
            </w:r>
            <w:r>
              <w:rPr>
                <w:rFonts w:hint="eastAsia" w:ascii="Times New Roman" w:hAnsi="Times New Roman" w:eastAsia="仿宋_GB2312" w:cs="Times New Roman"/>
                <w:b w:val="0"/>
                <w:bCs w:val="0"/>
                <w:sz w:val="28"/>
                <w:szCs w:val="28"/>
              </w:rPr>
              <w:t>“一区多园”</w:t>
            </w:r>
            <w:r>
              <w:rPr>
                <w:rFonts w:hint="eastAsia" w:ascii="Times New Roman" w:hAnsi="Times New Roman" w:eastAsia="仿宋_GB2312" w:cs="Times New Roman"/>
                <w:b w:val="0"/>
                <w:bCs w:val="0"/>
                <w:sz w:val="28"/>
                <w:szCs w:val="28"/>
                <w:lang w:val="en-US" w:eastAsia="zh-CN"/>
              </w:rPr>
              <w:t>产业布局</w:t>
            </w:r>
            <w:r>
              <w:rPr>
                <w:rFonts w:hint="eastAsia" w:ascii="Times New Roman" w:hAnsi="Times New Roman" w:eastAsia="仿宋_GB2312" w:cs="Times New Roman"/>
                <w:b w:val="0"/>
                <w:bCs w:val="0"/>
                <w:sz w:val="28"/>
                <w:szCs w:val="28"/>
              </w:rPr>
              <w:t>。</w:t>
            </w:r>
            <w:r>
              <w:rPr>
                <w:rFonts w:hint="eastAsia" w:ascii="Times New Roman" w:hAnsi="Times New Roman" w:eastAsia="仿宋_GB2312" w:cs="Times New Roman"/>
                <w:b w:val="0"/>
                <w:bCs w:val="0"/>
                <w:sz w:val="28"/>
                <w:szCs w:val="28"/>
                <w:lang w:eastAsia="zh-CN"/>
              </w:rPr>
              <w:t>“</w:t>
            </w:r>
            <w:r>
              <w:rPr>
                <w:rFonts w:hint="eastAsia" w:ascii="Times New Roman" w:hAnsi="Times New Roman" w:eastAsia="仿宋_GB2312" w:cs="Times New Roman"/>
                <w:b w:val="0"/>
                <w:bCs w:val="0"/>
                <w:sz w:val="28"/>
                <w:szCs w:val="28"/>
                <w:lang w:val="en-US" w:eastAsia="zh-CN"/>
              </w:rPr>
              <w:t>十四五</w:t>
            </w:r>
            <w:r>
              <w:rPr>
                <w:rFonts w:hint="eastAsia" w:ascii="Times New Roman" w:hAnsi="Times New Roman" w:eastAsia="仿宋_GB2312" w:cs="Times New Roman"/>
                <w:b w:val="0"/>
                <w:bCs w:val="0"/>
                <w:sz w:val="28"/>
                <w:szCs w:val="28"/>
                <w:lang w:eastAsia="zh-CN"/>
              </w:rPr>
              <w:t>”</w:t>
            </w:r>
            <w:r>
              <w:rPr>
                <w:rFonts w:hint="eastAsia" w:ascii="Times New Roman" w:hAnsi="Times New Roman" w:eastAsia="仿宋_GB2312" w:cs="Times New Roman"/>
                <w:b w:val="0"/>
                <w:bCs w:val="0"/>
                <w:sz w:val="28"/>
                <w:szCs w:val="28"/>
                <w:lang w:val="en-US" w:eastAsia="zh-CN"/>
              </w:rPr>
              <w:t>期间，园区</w:t>
            </w:r>
            <w:r>
              <w:rPr>
                <w:rFonts w:hint="eastAsia" w:ascii="Times New Roman" w:hAnsi="Times New Roman" w:eastAsia="仿宋_GB2312" w:cs="Times New Roman"/>
                <w:sz w:val="28"/>
                <w:szCs w:val="28"/>
                <w:lang w:val="en-US" w:eastAsia="zh-CN"/>
              </w:rPr>
              <w:t>围绕轻纺食品、机械电子、</w:t>
            </w:r>
            <w:r>
              <w:rPr>
                <w:rFonts w:hint="eastAsia" w:ascii="Times New Roman" w:hAnsi="Times New Roman" w:eastAsia="仿宋_GB2312" w:cs="Times New Roman"/>
                <w:kern w:val="2"/>
                <w:sz w:val="28"/>
                <w:szCs w:val="28"/>
                <w:lang w:val="en-US" w:eastAsia="zh-CN" w:bidi="ar-SA"/>
              </w:rPr>
              <w:t>新能源、新材料（含装配式建筑）</w:t>
            </w:r>
            <w:r>
              <w:rPr>
                <w:rFonts w:hint="eastAsia" w:ascii="Times New Roman" w:hAnsi="Times New Roman" w:eastAsia="仿宋_GB2312" w:cs="Times New Roman"/>
                <w:sz w:val="28"/>
                <w:szCs w:val="28"/>
                <w:lang w:val="en-US" w:eastAsia="zh-CN"/>
              </w:rPr>
              <w:t>等主导产业，加快推进安徽赛拉弗光伏组件及电池片生产项目、阜阳市颍上县清洁能源材料特色产业园项目等重大项目建设</w:t>
            </w:r>
            <w:r>
              <w:rPr>
                <w:rFonts w:hint="eastAsia" w:ascii="Times New Roman" w:hAnsi="Times New Roman" w:eastAsia="仿宋_GB2312" w:cs="Times New Roman"/>
                <w:sz w:val="28"/>
                <w:szCs w:val="28"/>
              </w:rPr>
              <w:t>。</w:t>
            </w:r>
          </w:p>
          <w:p w14:paraId="453DFAC5">
            <w:pPr>
              <w:spacing w:line="600" w:lineRule="exact"/>
              <w:ind w:firstLine="562" w:firstLineChars="200"/>
              <w:rPr>
                <w:rFonts w:ascii="Times New Roman" w:hAnsi="Times New Roman" w:eastAsia="仿宋_GB2312" w:cs="Times New Roman"/>
                <w:sz w:val="28"/>
                <w:szCs w:val="28"/>
              </w:rPr>
            </w:pPr>
            <w:r>
              <w:rPr>
                <w:rFonts w:hint="eastAsia" w:ascii="Times New Roman" w:hAnsi="Times New Roman" w:eastAsia="仿宋_GB2312" w:cs="Times New Roman"/>
                <w:b/>
                <w:bCs/>
                <w:sz w:val="28"/>
                <w:szCs w:val="28"/>
              </w:rPr>
              <w:t>安徽阜阳颍东经济开发区。</w:t>
            </w:r>
            <w:r>
              <w:rPr>
                <w:rFonts w:hint="eastAsia" w:ascii="Times New Roman" w:hAnsi="Times New Roman" w:eastAsia="仿宋_GB2312" w:cs="Times New Roman"/>
                <w:kern w:val="2"/>
                <w:sz w:val="28"/>
                <w:szCs w:val="28"/>
                <w:lang w:val="en-US" w:eastAsia="zh-CN" w:bidi="ar-SA"/>
              </w:rPr>
              <w:t>园区规划面积12.5平方公里，已形成了食品及农副产品加工、机械电子装备制造、煤基</w:t>
            </w:r>
            <w:r>
              <w:rPr>
                <w:rFonts w:hint="eastAsia" w:ascii="仿宋_GB2312" w:eastAsia="仿宋_GB2312" w:cs="Times New Roman"/>
                <w:kern w:val="2"/>
                <w:sz w:val="28"/>
                <w:szCs w:val="28"/>
                <w:highlight w:val="none"/>
                <w:lang w:val="en-US" w:eastAsia="zh-CN" w:bidi="ar-SA"/>
              </w:rPr>
              <w:t>新材料</w:t>
            </w:r>
            <w:r>
              <w:rPr>
                <w:rFonts w:hint="eastAsia" w:ascii="Times New Roman" w:hAnsi="Times New Roman" w:eastAsia="仿宋_GB2312" w:cs="Times New Roman"/>
                <w:kern w:val="2"/>
                <w:sz w:val="28"/>
                <w:szCs w:val="28"/>
                <w:lang w:val="en-US" w:eastAsia="zh-CN" w:bidi="ar-SA"/>
              </w:rPr>
              <w:t>、医药及医疗器械制造等主导产业集群。“十四五”期间，园区</w:t>
            </w:r>
            <w:r>
              <w:rPr>
                <w:rFonts w:hint="eastAsia" w:ascii="Times New Roman" w:hAnsi="Times New Roman" w:eastAsia="仿宋_GB2312" w:cs="Times New Roman"/>
                <w:sz w:val="28"/>
                <w:szCs w:val="28"/>
                <w:lang w:val="en-US" w:eastAsia="zh-CN"/>
              </w:rPr>
              <w:t>围绕</w:t>
            </w:r>
            <w:r>
              <w:rPr>
                <w:rFonts w:hint="eastAsia" w:ascii="Times New Roman" w:hAnsi="Times New Roman" w:eastAsia="仿宋_GB2312" w:cs="Times New Roman"/>
                <w:kern w:val="2"/>
                <w:sz w:val="28"/>
                <w:szCs w:val="28"/>
                <w:lang w:val="en-US" w:eastAsia="zh-CN" w:bidi="ar-SA"/>
              </w:rPr>
              <w:t>食品及农副产品深加工、机械电子装备制造和煤基新材料精细化工等</w:t>
            </w:r>
            <w:r>
              <w:rPr>
                <w:rFonts w:hint="eastAsia" w:ascii="Times New Roman" w:hAnsi="Times New Roman" w:eastAsia="仿宋_GB2312" w:cs="Times New Roman"/>
                <w:sz w:val="28"/>
                <w:szCs w:val="28"/>
                <w:lang w:val="en-US" w:eastAsia="zh-CN"/>
              </w:rPr>
              <w:t>主导产业，加快推进昊源化工年产30万吨全生物可降解塑料（PBAT）项目、年产30万吨合成氨、40万吨尿素联产20万吨己内酰胺搬迁改造项目等重大项目建设</w:t>
            </w:r>
            <w:r>
              <w:rPr>
                <w:rFonts w:hint="eastAsia" w:ascii="Times New Roman" w:hAnsi="Times New Roman" w:eastAsia="仿宋_GB2312" w:cs="Times New Roman"/>
                <w:sz w:val="28"/>
                <w:szCs w:val="28"/>
              </w:rPr>
              <w:t>。</w:t>
            </w:r>
          </w:p>
          <w:p w14:paraId="09F073DD">
            <w:pPr>
              <w:pStyle w:val="23"/>
              <w:spacing w:line="600" w:lineRule="exact"/>
              <w:ind w:left="0" w:leftChars="0" w:firstLine="562"/>
            </w:pPr>
            <w:r>
              <w:rPr>
                <w:rFonts w:hint="eastAsia" w:ascii="Times New Roman" w:hAnsi="Times New Roman" w:eastAsia="仿宋_GB2312" w:cs="Times New Roman"/>
                <w:b/>
                <w:bCs/>
                <w:sz w:val="28"/>
                <w:szCs w:val="28"/>
              </w:rPr>
              <w:t>安徽阜南经济开发区。</w:t>
            </w:r>
            <w:r>
              <w:rPr>
                <w:rFonts w:hint="eastAsia" w:ascii="Times New Roman" w:hAnsi="Times New Roman" w:eastAsia="仿宋_GB2312" w:cs="Times New Roman"/>
                <w:kern w:val="2"/>
                <w:sz w:val="28"/>
                <w:szCs w:val="28"/>
                <w:lang w:val="en-US" w:eastAsia="zh-CN" w:bidi="ar-SA"/>
              </w:rPr>
              <w:t>园区规划面积50平方公里，建成区面积17.33平方公里，已经形成了柳木文化、纺织服装、机械电子三大主导产业格局。“十四五”期间，园区围绕柳木文化、纺织服装、机械电子三大主导产业，加快推进阜南经开区柳木家居工艺品生产项目、阜南经济开发区纺织服装产业园等重大项目建设，努力将园区打造成皖北最大规模、最具吸引力、最有成长性的开发区。</w:t>
            </w:r>
          </w:p>
        </w:tc>
      </w:tr>
    </w:tbl>
    <w:p w14:paraId="555EB2D4">
      <w:pPr>
        <w:ind w:firstLine="640" w:firstLineChars="200"/>
        <w:outlineLvl w:val="0"/>
        <w:rPr>
          <w:color w:val="000000"/>
          <w:sz w:val="30"/>
          <w:szCs w:val="30"/>
        </w:rPr>
      </w:pPr>
      <w:bookmarkStart w:id="380" w:name="_Toc1335"/>
      <w:bookmarkStart w:id="381" w:name="_Toc8034"/>
      <w:bookmarkStart w:id="382" w:name="_Toc4716"/>
      <w:bookmarkStart w:id="383" w:name="_Toc24087"/>
      <w:bookmarkStart w:id="384" w:name="_Toc26519"/>
      <w:bookmarkStart w:id="385" w:name="_Toc21418"/>
      <w:bookmarkStart w:id="386" w:name="_Toc14115"/>
      <w:bookmarkStart w:id="387" w:name="_Toc7685"/>
      <w:bookmarkStart w:id="388" w:name="_Toc29944"/>
      <w:bookmarkStart w:id="389" w:name="_Toc28648"/>
      <w:bookmarkStart w:id="390" w:name="_Toc17045"/>
      <w:bookmarkStart w:id="391" w:name="_Toc17391"/>
      <w:bookmarkStart w:id="392" w:name="_Toc9736"/>
      <w:r>
        <w:rPr>
          <w:rFonts w:hint="eastAsia" w:ascii="黑体" w:hAnsi="黑体" w:eastAsia="黑体" w:cs="黑体"/>
          <w:sz w:val="32"/>
          <w:szCs w:val="32"/>
        </w:rPr>
        <w:t>六、保障措施</w:t>
      </w:r>
      <w:bookmarkEnd w:id="380"/>
      <w:bookmarkEnd w:id="381"/>
      <w:bookmarkEnd w:id="382"/>
      <w:bookmarkEnd w:id="383"/>
      <w:bookmarkEnd w:id="384"/>
      <w:bookmarkEnd w:id="385"/>
      <w:bookmarkEnd w:id="386"/>
      <w:bookmarkEnd w:id="387"/>
      <w:bookmarkEnd w:id="388"/>
      <w:bookmarkEnd w:id="389"/>
      <w:bookmarkEnd w:id="390"/>
      <w:bookmarkEnd w:id="391"/>
      <w:bookmarkEnd w:id="392"/>
    </w:p>
    <w:p w14:paraId="5586077E">
      <w:pPr>
        <w:ind w:firstLine="643" w:firstLineChars="200"/>
        <w:outlineLvl w:val="1"/>
        <w:rPr>
          <w:rFonts w:ascii="楷体_GB2312" w:hAnsi="楷体_GB2312" w:eastAsia="楷体_GB2312" w:cs="楷体_GB2312"/>
          <w:b/>
          <w:bCs/>
          <w:sz w:val="32"/>
          <w:szCs w:val="32"/>
        </w:rPr>
      </w:pPr>
      <w:bookmarkStart w:id="393" w:name="_Toc12234"/>
      <w:bookmarkStart w:id="394" w:name="_Toc28149"/>
      <w:bookmarkStart w:id="395" w:name="_Toc31291"/>
      <w:bookmarkStart w:id="396" w:name="_Toc6207"/>
      <w:bookmarkStart w:id="397" w:name="_Toc14449"/>
      <w:bookmarkStart w:id="398" w:name="_Toc26750"/>
      <w:bookmarkStart w:id="399" w:name="_Toc15824"/>
      <w:bookmarkStart w:id="400" w:name="_Toc7809"/>
      <w:bookmarkStart w:id="401" w:name="_Toc338"/>
      <w:bookmarkStart w:id="402" w:name="_Toc12363"/>
      <w:bookmarkStart w:id="403" w:name="_Toc13321"/>
      <w:bookmarkStart w:id="404" w:name="_Toc7619"/>
      <w:bookmarkStart w:id="405" w:name="_Toc23040"/>
      <w:bookmarkStart w:id="406" w:name="_Toc31226"/>
      <w:bookmarkStart w:id="407" w:name="_Toc30032"/>
      <w:r>
        <w:rPr>
          <w:rFonts w:ascii="楷体_GB2312" w:hAnsi="楷体_GB2312" w:eastAsia="楷体_GB2312" w:cs="楷体_GB2312"/>
          <w:b/>
          <w:bCs/>
          <w:sz w:val="32"/>
          <w:szCs w:val="32"/>
        </w:rPr>
        <w:t>（</w:t>
      </w:r>
      <w:r>
        <w:rPr>
          <w:rFonts w:hint="eastAsia" w:ascii="楷体_GB2312" w:hAnsi="楷体_GB2312" w:eastAsia="楷体_GB2312" w:cs="楷体_GB2312"/>
          <w:b/>
          <w:bCs/>
          <w:sz w:val="32"/>
          <w:szCs w:val="32"/>
        </w:rPr>
        <w:t>一</w:t>
      </w:r>
      <w:r>
        <w:rPr>
          <w:rFonts w:ascii="楷体_GB2312" w:hAnsi="楷体_GB2312" w:eastAsia="楷体_GB2312" w:cs="楷体_GB2312"/>
          <w:b/>
          <w:bCs/>
          <w:sz w:val="32"/>
          <w:szCs w:val="32"/>
        </w:rPr>
        <w:t>）</w:t>
      </w:r>
      <w:r>
        <w:rPr>
          <w:rFonts w:hint="eastAsia" w:ascii="楷体_GB2312" w:hAnsi="楷体_GB2312" w:eastAsia="楷体_GB2312" w:cs="楷体_GB2312"/>
          <w:b/>
          <w:bCs/>
          <w:sz w:val="32"/>
          <w:szCs w:val="32"/>
        </w:rPr>
        <w:t>加强组织领导</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p w14:paraId="61DBD426">
      <w:pPr>
        <w:pStyle w:val="12"/>
        <w:spacing w:after="0" w:line="600" w:lineRule="exact"/>
        <w:ind w:left="0" w:leftChars="0" w:firstLine="640" w:firstLineChars="200"/>
        <w:rPr>
          <w:rFonts w:ascii="Times New Roman" w:hAnsi="Times New Roman" w:eastAsia="仿宋_GB2312" w:cs="Times New Roman"/>
          <w:sz w:val="32"/>
        </w:rPr>
      </w:pPr>
      <w:bookmarkStart w:id="408" w:name="_Toc1559"/>
      <w:r>
        <w:rPr>
          <w:rFonts w:ascii="Times New Roman" w:hAnsi="Times New Roman" w:eastAsia="仿宋_GB2312" w:cs="Times New Roman"/>
          <w:sz w:val="32"/>
        </w:rPr>
        <w:t>把党的领导贯穿到工业经济高质量发展的全过程各方面</w:t>
      </w:r>
      <w:r>
        <w:rPr>
          <w:rFonts w:hint="eastAsia" w:ascii="Times New Roman" w:hAnsi="Times New Roman" w:eastAsia="仿宋_GB2312" w:cs="Times New Roman"/>
          <w:sz w:val="32"/>
        </w:rPr>
        <w:t>，</w:t>
      </w:r>
      <w:r>
        <w:rPr>
          <w:rFonts w:ascii="Times New Roman" w:hAnsi="Times New Roman" w:eastAsia="仿宋_GB2312" w:cs="Times New Roman"/>
          <w:sz w:val="32"/>
        </w:rPr>
        <w:t>以高质量党建引领高质量发展。压实各级各部门党组织主体责任，推动各项工作在</w:t>
      </w:r>
      <w:r>
        <w:rPr>
          <w:rFonts w:hint="eastAsia" w:ascii="Times New Roman" w:hAnsi="Times New Roman" w:eastAsia="仿宋_GB2312" w:cs="Times New Roman"/>
          <w:sz w:val="32"/>
          <w:lang w:val="en-US" w:eastAsia="zh-CN"/>
        </w:rPr>
        <w:t>制造</w:t>
      </w:r>
      <w:r>
        <w:rPr>
          <w:rFonts w:ascii="Times New Roman" w:hAnsi="Times New Roman" w:eastAsia="仿宋_GB2312" w:cs="Times New Roman"/>
          <w:sz w:val="32"/>
        </w:rPr>
        <w:t>强市</w:t>
      </w:r>
      <w:r>
        <w:rPr>
          <w:rFonts w:hint="eastAsia" w:ascii="Times New Roman" w:hAnsi="Times New Roman" w:eastAsia="仿宋_GB2312" w:cs="Times New Roman"/>
          <w:sz w:val="32"/>
        </w:rPr>
        <w:t>战略</w:t>
      </w:r>
      <w:r>
        <w:rPr>
          <w:rFonts w:ascii="Times New Roman" w:hAnsi="Times New Roman" w:eastAsia="仿宋_GB2312" w:cs="Times New Roman"/>
          <w:sz w:val="32"/>
        </w:rPr>
        <w:t>中去考量、去谋划、去推进。</w:t>
      </w:r>
      <w:r>
        <w:rPr>
          <w:rFonts w:ascii="Times New Roman" w:hAnsi="Times New Roman" w:eastAsia="仿宋_GB2312" w:cs="Times New Roman"/>
          <w:sz w:val="32"/>
          <w:szCs w:val="24"/>
        </w:rPr>
        <w:t>推行产业集群群长制、产业链供应链链长制、产业联盟盟长制</w:t>
      </w:r>
      <w:r>
        <w:rPr>
          <w:rFonts w:hint="eastAsia" w:ascii="Times New Roman" w:hAnsi="Times New Roman" w:eastAsia="仿宋_GB2312" w:cs="Times New Roman"/>
          <w:sz w:val="32"/>
          <w:szCs w:val="24"/>
          <w:lang w:eastAsia="zh-CN"/>
        </w:rPr>
        <w:t>，</w:t>
      </w:r>
      <w:r>
        <w:rPr>
          <w:rFonts w:ascii="Times New Roman" w:hAnsi="Times New Roman" w:eastAsia="仿宋_GB2312" w:cs="Times New Roman"/>
          <w:sz w:val="32"/>
        </w:rPr>
        <w:t>统筹推动</w:t>
      </w:r>
      <w:r>
        <w:rPr>
          <w:rFonts w:hint="eastAsia" w:ascii="Times New Roman" w:hAnsi="Times New Roman" w:eastAsia="仿宋_GB2312" w:cs="Times New Roman"/>
          <w:sz w:val="32"/>
        </w:rPr>
        <w:t>工业</w:t>
      </w:r>
      <w:r>
        <w:rPr>
          <w:rFonts w:ascii="Times New Roman" w:hAnsi="Times New Roman" w:eastAsia="仿宋_GB2312" w:cs="Times New Roman"/>
          <w:sz w:val="32"/>
        </w:rPr>
        <w:t>高质量跨越式发展，协调解决各产业链发展中遇到的共性问题、关键性难题，领导小组成员要切实履行好各自职责，确保规划重大任务、重点工程等落实到单位</w:t>
      </w:r>
      <w:r>
        <w:rPr>
          <w:rFonts w:hint="eastAsia" w:ascii="Times New Roman" w:hAnsi="Times New Roman" w:eastAsia="仿宋_GB2312" w:cs="Times New Roman"/>
          <w:sz w:val="32"/>
        </w:rPr>
        <w:t>，</w:t>
      </w:r>
      <w:r>
        <w:rPr>
          <w:rFonts w:ascii="Times New Roman" w:hAnsi="Times New Roman" w:eastAsia="仿宋_GB2312" w:cs="Times New Roman"/>
          <w:sz w:val="32"/>
        </w:rPr>
        <w:t>确保规划落</w:t>
      </w:r>
      <w:r>
        <w:rPr>
          <w:rFonts w:hint="eastAsia" w:ascii="Times New Roman" w:hAnsi="Times New Roman" w:eastAsia="仿宋_GB2312" w:cs="Times New Roman"/>
          <w:sz w:val="32"/>
          <w:lang w:val="en-US" w:eastAsia="zh-CN"/>
        </w:rPr>
        <w:t>地</w:t>
      </w:r>
      <w:r>
        <w:rPr>
          <w:rFonts w:ascii="Times New Roman" w:hAnsi="Times New Roman" w:eastAsia="仿宋_GB2312" w:cs="Times New Roman"/>
          <w:sz w:val="32"/>
        </w:rPr>
        <w:t>。</w:t>
      </w:r>
    </w:p>
    <w:p w14:paraId="4D903F8E">
      <w:pPr>
        <w:ind w:firstLine="643" w:firstLineChars="200"/>
        <w:outlineLvl w:val="1"/>
        <w:rPr>
          <w:rFonts w:ascii="楷体_GB2312" w:hAnsi="楷体_GB2312" w:eastAsia="楷体_GB2312" w:cs="楷体_GB2312"/>
          <w:b/>
          <w:bCs/>
          <w:sz w:val="32"/>
          <w:szCs w:val="32"/>
        </w:rPr>
      </w:pPr>
      <w:bookmarkStart w:id="409" w:name="_Toc30816"/>
      <w:bookmarkStart w:id="410" w:name="_Toc6310"/>
      <w:bookmarkStart w:id="411" w:name="_Toc19644"/>
      <w:bookmarkStart w:id="412" w:name="_Toc11466"/>
      <w:bookmarkStart w:id="413" w:name="_Toc24709"/>
      <w:bookmarkStart w:id="414" w:name="_Toc17713"/>
      <w:bookmarkStart w:id="415" w:name="_Toc13843"/>
      <w:bookmarkStart w:id="416" w:name="_Toc24502"/>
      <w:bookmarkStart w:id="417" w:name="_Toc21465"/>
      <w:bookmarkStart w:id="418" w:name="_Toc30303"/>
      <w:bookmarkStart w:id="419" w:name="_Toc3096"/>
      <w:bookmarkStart w:id="420" w:name="_Toc8015"/>
      <w:bookmarkStart w:id="421" w:name="_Toc32153"/>
      <w:bookmarkStart w:id="422" w:name="_Toc4430"/>
      <w:r>
        <w:rPr>
          <w:rFonts w:ascii="楷体_GB2312" w:hAnsi="楷体_GB2312" w:eastAsia="楷体_GB2312" w:cs="楷体_GB2312"/>
          <w:b/>
          <w:bCs/>
          <w:sz w:val="32"/>
          <w:szCs w:val="32"/>
        </w:rPr>
        <w:t>（</w:t>
      </w:r>
      <w:r>
        <w:rPr>
          <w:rFonts w:hint="eastAsia" w:ascii="楷体_GB2312" w:hAnsi="楷体_GB2312" w:eastAsia="楷体_GB2312" w:cs="楷体_GB2312"/>
          <w:b/>
          <w:bCs/>
          <w:sz w:val="32"/>
          <w:szCs w:val="32"/>
        </w:rPr>
        <w:t>二</w:t>
      </w:r>
      <w:r>
        <w:rPr>
          <w:rFonts w:ascii="楷体_GB2312" w:hAnsi="楷体_GB2312" w:eastAsia="楷体_GB2312" w:cs="楷体_GB2312"/>
          <w:b/>
          <w:bCs/>
          <w:sz w:val="32"/>
          <w:szCs w:val="32"/>
        </w:rPr>
        <w:t>）</w:t>
      </w:r>
      <w:r>
        <w:rPr>
          <w:rFonts w:hint="eastAsia" w:ascii="楷体_GB2312" w:hAnsi="楷体_GB2312" w:eastAsia="楷体_GB2312" w:cs="楷体_GB2312"/>
          <w:b/>
          <w:bCs/>
          <w:sz w:val="32"/>
          <w:szCs w:val="32"/>
        </w:rPr>
        <w:t>强化要素保障</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63846034">
      <w:pPr>
        <w:pStyle w:val="12"/>
        <w:spacing w:after="0" w:line="600" w:lineRule="exact"/>
        <w:ind w:left="0" w:leftChars="0" w:firstLine="643" w:firstLineChars="200"/>
        <w:rPr>
          <w:rFonts w:ascii="Times New Roman" w:hAnsi="Times New Roman" w:eastAsia="仿宋_GB2312" w:cs="Times New Roman"/>
          <w:sz w:val="32"/>
        </w:rPr>
      </w:pPr>
      <w:r>
        <w:rPr>
          <w:rFonts w:hint="eastAsia" w:ascii="Times New Roman" w:hAnsi="Times New Roman" w:eastAsia="仿宋_GB2312" w:cs="Times New Roman"/>
          <w:b/>
          <w:bCs/>
          <w:sz w:val="32"/>
        </w:rPr>
        <w:t>强化资金保障</w:t>
      </w:r>
      <w:r>
        <w:rPr>
          <w:rFonts w:hint="eastAsia" w:ascii="Times New Roman" w:hAnsi="Times New Roman" w:eastAsia="仿宋_GB2312" w:cs="Times New Roman"/>
          <w:sz w:val="32"/>
        </w:rPr>
        <w:t>。深化财税金融体制改革</w:t>
      </w:r>
      <w:r>
        <w:rPr>
          <w:rFonts w:hint="eastAsia" w:ascii="Times New Roman" w:hAnsi="Times New Roman" w:eastAsia="仿宋_GB2312" w:cs="Times New Roman"/>
          <w:sz w:val="32"/>
          <w:lang w:eastAsia="zh-CN"/>
        </w:rPr>
        <w:t>，</w:t>
      </w:r>
      <w:r>
        <w:rPr>
          <w:rFonts w:hint="eastAsia" w:ascii="Times New Roman" w:hAnsi="Times New Roman" w:eastAsia="仿宋_GB2312" w:cs="Times New Roman"/>
          <w:sz w:val="32"/>
          <w:lang w:val="en-US" w:eastAsia="zh-CN"/>
        </w:rPr>
        <w:t>推动政府投融资平台转型发展，提高国有资本运营效率，扩大产业引导基金规模。</w:t>
      </w:r>
      <w:r>
        <w:rPr>
          <w:rFonts w:hint="eastAsia" w:ascii="Times New Roman" w:hAnsi="Times New Roman" w:eastAsia="仿宋_GB2312" w:cs="Times New Roman"/>
          <w:sz w:val="32"/>
        </w:rPr>
        <w:t>建立以政府投资基金为引导、社会资本为主体的资本筹集机制，设立市级产业引导基金群、专项发展资金，支持重点产业发展。鼓励金融机构创新金融产品和服务，优化信贷投向，增加制造业中长期贷款、技改贷款和信用贷款，推动股权投资、债权融资等向制造业倾斜</w:t>
      </w:r>
      <w:r>
        <w:rPr>
          <w:rFonts w:hint="eastAsia" w:ascii="Times New Roman" w:hAnsi="Times New Roman" w:eastAsia="仿宋_GB2312" w:cs="Times New Roman"/>
          <w:sz w:val="32"/>
          <w:lang w:eastAsia="zh-CN"/>
        </w:rPr>
        <w:t>。</w:t>
      </w:r>
      <w:r>
        <w:rPr>
          <w:rFonts w:hint="eastAsia" w:ascii="Times New Roman" w:hAnsi="Times New Roman" w:eastAsia="仿宋_GB2312" w:cs="Times New Roman"/>
          <w:sz w:val="32"/>
        </w:rPr>
        <w:t>引导产业基金与金融机构合作，探索提供“一站式”金融服务。</w:t>
      </w:r>
      <w:r>
        <w:rPr>
          <w:rFonts w:ascii="Times New Roman" w:hAnsi="Times New Roman" w:eastAsia="仿宋_GB2312" w:cs="Times New Roman"/>
          <w:sz w:val="32"/>
        </w:rPr>
        <w:t>积极推进政银担企合作，建成阜阳综合金融服务平台，进一步解决银企信息不对称问题</w:t>
      </w:r>
      <w:r>
        <w:rPr>
          <w:rFonts w:hint="eastAsia" w:ascii="Times New Roman" w:hAnsi="Times New Roman" w:eastAsia="仿宋_GB2312" w:cs="Times New Roman"/>
          <w:sz w:val="32"/>
        </w:rPr>
        <w:t>。</w:t>
      </w:r>
    </w:p>
    <w:p w14:paraId="24815507">
      <w:pPr>
        <w:pStyle w:val="12"/>
        <w:spacing w:after="0" w:line="600" w:lineRule="exact"/>
        <w:ind w:left="0" w:leftChars="0" w:firstLine="643" w:firstLineChars="200"/>
        <w:rPr>
          <w:rFonts w:ascii="Times New Roman" w:hAnsi="Times New Roman" w:eastAsia="仿宋_GB2312" w:cs="Times New Roman"/>
          <w:sz w:val="32"/>
        </w:rPr>
      </w:pPr>
      <w:r>
        <w:rPr>
          <w:rFonts w:ascii="Times New Roman" w:hAnsi="Times New Roman" w:eastAsia="仿宋_GB2312" w:cs="Times New Roman"/>
          <w:b/>
          <w:bCs/>
          <w:sz w:val="32"/>
        </w:rPr>
        <w:t>高效利用土地资源。</w:t>
      </w:r>
      <w:r>
        <w:rPr>
          <w:rFonts w:ascii="Times New Roman" w:hAnsi="Times New Roman" w:eastAsia="仿宋_GB2312" w:cs="Times New Roman"/>
          <w:sz w:val="32"/>
        </w:rPr>
        <w:t>加快城镇低效用地和</w:t>
      </w:r>
      <w:r>
        <w:rPr>
          <w:rFonts w:hint="eastAsia" w:ascii="Times New Roman" w:hAnsi="Times New Roman" w:eastAsia="仿宋_GB2312" w:cs="Times New Roman"/>
          <w:sz w:val="32"/>
        </w:rPr>
        <w:t>“</w:t>
      </w:r>
      <w:r>
        <w:rPr>
          <w:rFonts w:ascii="Times New Roman" w:hAnsi="Times New Roman" w:eastAsia="仿宋_GB2312" w:cs="Times New Roman"/>
          <w:sz w:val="32"/>
        </w:rPr>
        <w:t>三改一拆</w:t>
      </w:r>
      <w:r>
        <w:rPr>
          <w:rFonts w:hint="eastAsia" w:ascii="Times New Roman" w:hAnsi="Times New Roman" w:eastAsia="仿宋_GB2312" w:cs="Times New Roman"/>
          <w:sz w:val="32"/>
        </w:rPr>
        <w:t>”</w:t>
      </w:r>
      <w:r>
        <w:rPr>
          <w:rFonts w:ascii="Times New Roman" w:hAnsi="Times New Roman" w:eastAsia="仿宋_GB2312" w:cs="Times New Roman"/>
          <w:sz w:val="32"/>
        </w:rPr>
        <w:t>拆后土地再利用，加大批而未供、供而未用土地处置力度，盘活存量土地；扎实推进</w:t>
      </w:r>
      <w:r>
        <w:rPr>
          <w:rFonts w:hint="eastAsia" w:ascii="Times New Roman" w:hAnsi="Times New Roman" w:eastAsia="仿宋_GB2312" w:cs="Times New Roman"/>
          <w:sz w:val="32"/>
        </w:rPr>
        <w:t>“</w:t>
      </w:r>
      <w:r>
        <w:rPr>
          <w:rFonts w:ascii="Times New Roman" w:hAnsi="Times New Roman" w:eastAsia="仿宋_GB2312" w:cs="Times New Roman"/>
          <w:sz w:val="32"/>
        </w:rPr>
        <w:t>标准地</w:t>
      </w:r>
      <w:r>
        <w:rPr>
          <w:rFonts w:hint="eastAsia" w:ascii="Times New Roman" w:hAnsi="Times New Roman" w:eastAsia="仿宋_GB2312" w:cs="Times New Roman"/>
          <w:sz w:val="32"/>
        </w:rPr>
        <w:t>”</w:t>
      </w:r>
      <w:r>
        <w:rPr>
          <w:rFonts w:ascii="Times New Roman" w:hAnsi="Times New Roman" w:eastAsia="仿宋_GB2312" w:cs="Times New Roman"/>
          <w:sz w:val="32"/>
        </w:rPr>
        <w:t>改革</w:t>
      </w:r>
      <w:r>
        <w:rPr>
          <w:rFonts w:hint="eastAsia" w:ascii="Times New Roman" w:hAnsi="Times New Roman" w:eastAsia="仿宋_GB2312" w:cs="Times New Roman"/>
          <w:sz w:val="32"/>
        </w:rPr>
        <w:t>，做好区域性统一评价，加快构建出让控制性指标体系，改革“标准地”供应方式，细化完善“标准地”出让流程；统筹安排用地计划指标，用足用好增减挂钩等用地政策，优先保障重点产业项目建设。</w:t>
      </w:r>
      <w:bookmarkStart w:id="484" w:name="_GoBack"/>
      <w:bookmarkEnd w:id="484"/>
    </w:p>
    <w:p w14:paraId="77B8B1AE">
      <w:pPr>
        <w:pStyle w:val="13"/>
        <w:spacing w:line="600" w:lineRule="exact"/>
        <w:ind w:firstLine="643" w:firstLineChars="200"/>
        <w:rPr>
          <w:rFonts w:hint="eastAsia" w:ascii="仿宋_GB2312" w:hAnsi="仿宋_GB2312" w:eastAsia="仿宋_GB2312" w:cs="仿宋_GB2312"/>
          <w:sz w:val="32"/>
        </w:rPr>
      </w:pPr>
      <w:r>
        <w:rPr>
          <w:rFonts w:ascii="Times New Roman" w:hAnsi="Times New Roman" w:eastAsia="仿宋_GB2312" w:cs="Times New Roman"/>
          <w:b/>
          <w:bCs/>
          <w:sz w:val="32"/>
        </w:rPr>
        <w:t>加强人才引进培养。</w:t>
      </w:r>
      <w:r>
        <w:rPr>
          <w:rFonts w:hint="eastAsia" w:ascii="仿宋_GB2312" w:hAnsi="仿宋_GB2312" w:eastAsia="仿宋_GB2312" w:cs="仿宋_GB2312"/>
          <w:sz w:val="32"/>
        </w:rPr>
        <w:t>坚定实施人才强市战略，积极吸引在外人才回乡就业创业，实现从人才“输出”到回流再到“输入”的转变，为工业发展提供人力资源保障。</w:t>
      </w:r>
      <w:r>
        <w:rPr>
          <w:rFonts w:hint="eastAsia" w:ascii="仿宋_GB2312" w:hAnsi="仿宋_GB2312" w:eastAsia="仿宋_GB2312" w:cs="仿宋_GB2312"/>
          <w:sz w:val="32"/>
          <w:lang w:val="en-US" w:eastAsia="zh-CN"/>
        </w:rPr>
        <w:t>加强校企合作，推动</w:t>
      </w:r>
      <w:r>
        <w:rPr>
          <w:rFonts w:hint="eastAsia" w:ascii="仿宋_GB2312" w:hAnsi="仿宋_GB2312" w:eastAsia="仿宋_GB2312" w:cs="仿宋_GB2312"/>
          <w:i w:val="0"/>
          <w:iCs w:val="0"/>
          <w:caps w:val="0"/>
          <w:spacing w:val="0"/>
          <w:sz w:val="32"/>
          <w:szCs w:val="24"/>
          <w:shd w:val="clear"/>
        </w:rPr>
        <w:t>产学研用深度融合，</w:t>
      </w:r>
      <w:r>
        <w:rPr>
          <w:rFonts w:hint="eastAsia" w:ascii="仿宋_GB2312" w:hAnsi="仿宋_GB2312" w:eastAsia="仿宋_GB2312" w:cs="仿宋_GB2312"/>
          <w:i w:val="0"/>
          <w:iCs w:val="0"/>
          <w:caps w:val="0"/>
          <w:spacing w:val="0"/>
          <w:sz w:val="32"/>
          <w:szCs w:val="24"/>
          <w:shd w:val="clear"/>
          <w:lang w:val="en-US" w:eastAsia="zh-CN"/>
        </w:rPr>
        <w:t>推动本地高校针对本地产业发展需求，开设相关专业和培训；</w:t>
      </w:r>
      <w:r>
        <w:rPr>
          <w:rFonts w:hint="eastAsia" w:ascii="仿宋_GB2312" w:hAnsi="仿宋_GB2312" w:eastAsia="仿宋_GB2312" w:cs="仿宋_GB2312"/>
          <w:sz w:val="32"/>
        </w:rPr>
        <w:t>支持企业引进经营管理人才，将引进的人才纳入企业家培养计划；大规模开展职业技能培训，强化技能人才培养；建立本地人才表彰激励机制，促进本土人才加速成长。</w:t>
      </w:r>
    </w:p>
    <w:p w14:paraId="69D26CEC">
      <w:pPr>
        <w:ind w:firstLine="643" w:firstLineChars="200"/>
        <w:outlineLvl w:val="1"/>
        <w:rPr>
          <w:rFonts w:ascii="楷体_GB2312" w:hAnsi="楷体_GB2312" w:eastAsia="楷体_GB2312" w:cs="楷体_GB2312"/>
          <w:b/>
          <w:bCs/>
          <w:sz w:val="32"/>
          <w:szCs w:val="32"/>
        </w:rPr>
      </w:pPr>
      <w:bookmarkStart w:id="423" w:name="_Toc26914"/>
      <w:bookmarkStart w:id="424" w:name="_Toc27253"/>
      <w:bookmarkStart w:id="425" w:name="_Toc16085"/>
      <w:bookmarkStart w:id="426" w:name="_Toc16730"/>
      <w:bookmarkStart w:id="427" w:name="_Toc31716"/>
      <w:bookmarkStart w:id="428" w:name="_Toc10227"/>
      <w:bookmarkStart w:id="429" w:name="_Toc11540"/>
      <w:bookmarkStart w:id="430" w:name="_Toc7752"/>
      <w:bookmarkStart w:id="431" w:name="_Toc6109"/>
      <w:bookmarkStart w:id="432" w:name="_Toc5548"/>
      <w:bookmarkStart w:id="433" w:name="_Toc23392"/>
      <w:bookmarkStart w:id="434" w:name="_Toc2329"/>
      <w:bookmarkStart w:id="435" w:name="_Toc20013"/>
      <w:bookmarkStart w:id="436" w:name="_Toc25716"/>
      <w:bookmarkStart w:id="437" w:name="_Toc22368"/>
      <w:r>
        <w:rPr>
          <w:rFonts w:ascii="楷体_GB2312" w:hAnsi="楷体_GB2312" w:eastAsia="楷体_GB2312" w:cs="楷体_GB2312"/>
          <w:b/>
          <w:bCs/>
          <w:sz w:val="32"/>
          <w:szCs w:val="32"/>
        </w:rPr>
        <w:t>（</w:t>
      </w:r>
      <w:r>
        <w:rPr>
          <w:rFonts w:hint="eastAsia" w:ascii="楷体_GB2312" w:hAnsi="楷体_GB2312" w:eastAsia="楷体_GB2312" w:cs="楷体_GB2312"/>
          <w:b/>
          <w:bCs/>
          <w:sz w:val="32"/>
          <w:szCs w:val="32"/>
        </w:rPr>
        <w:t>三</w:t>
      </w:r>
      <w:r>
        <w:rPr>
          <w:rFonts w:ascii="楷体_GB2312" w:hAnsi="楷体_GB2312" w:eastAsia="楷体_GB2312" w:cs="楷体_GB2312"/>
          <w:b/>
          <w:bCs/>
          <w:sz w:val="32"/>
          <w:szCs w:val="32"/>
        </w:rPr>
        <w:t>）</w:t>
      </w:r>
      <w:r>
        <w:rPr>
          <w:rFonts w:hint="eastAsia" w:ascii="楷体_GB2312" w:hAnsi="楷体_GB2312" w:eastAsia="楷体_GB2312" w:cs="楷体_GB2312"/>
          <w:b/>
          <w:bCs/>
          <w:sz w:val="32"/>
          <w:szCs w:val="32"/>
        </w:rPr>
        <w:t>健全机制</w:t>
      </w:r>
      <w:bookmarkEnd w:id="423"/>
      <w:r>
        <w:rPr>
          <w:rFonts w:hint="eastAsia" w:ascii="楷体_GB2312" w:hAnsi="楷体_GB2312" w:eastAsia="楷体_GB2312" w:cs="楷体_GB2312"/>
          <w:b/>
          <w:bCs/>
          <w:sz w:val="32"/>
          <w:szCs w:val="32"/>
        </w:rPr>
        <w:t>体制</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2FF97B8C">
      <w:pPr>
        <w:pStyle w:val="12"/>
        <w:spacing w:after="0" w:line="600" w:lineRule="exact"/>
        <w:ind w:left="0" w:leftChars="0" w:firstLine="643" w:firstLineChars="200"/>
        <w:rPr>
          <w:rFonts w:ascii="Times New Roman" w:hAnsi="Times New Roman" w:eastAsia="仿宋_GB2312" w:cs="Times New Roman"/>
          <w:sz w:val="32"/>
        </w:rPr>
      </w:pPr>
      <w:r>
        <w:rPr>
          <w:rFonts w:ascii="Times New Roman" w:hAnsi="Times New Roman" w:eastAsia="仿宋_GB2312" w:cs="Times New Roman"/>
          <w:b/>
          <w:bCs/>
          <w:sz w:val="32"/>
        </w:rPr>
        <w:t>完善科学决策机制。</w:t>
      </w:r>
      <w:r>
        <w:rPr>
          <w:rFonts w:ascii="Times New Roman" w:hAnsi="Times New Roman" w:eastAsia="仿宋_GB2312" w:cs="Times New Roman"/>
          <w:sz w:val="32"/>
        </w:rPr>
        <w:t>发挥专家、工业行业协会及产业联盟的作用，全面加强调查研究，每年实施重大关键发展课题专项研究，</w:t>
      </w:r>
      <w:r>
        <w:rPr>
          <w:rFonts w:hint="eastAsia" w:ascii="Times New Roman" w:hAnsi="Times New Roman" w:eastAsia="仿宋_GB2312" w:cs="Times New Roman"/>
          <w:sz w:val="32"/>
        </w:rPr>
        <w:t>尤其是关于</w:t>
      </w:r>
      <w:r>
        <w:rPr>
          <w:rFonts w:ascii="Times New Roman" w:hAnsi="Times New Roman" w:eastAsia="仿宋_GB2312" w:cs="Times New Roman"/>
          <w:sz w:val="32"/>
        </w:rPr>
        <w:t>工业竞争力、特色产业发展、战略性新兴产业培育等</w:t>
      </w:r>
      <w:r>
        <w:rPr>
          <w:rFonts w:hint="eastAsia" w:ascii="Times New Roman" w:hAnsi="Times New Roman" w:eastAsia="仿宋_GB2312" w:cs="Times New Roman"/>
          <w:sz w:val="32"/>
        </w:rPr>
        <w:t>方面的</w:t>
      </w:r>
      <w:r>
        <w:rPr>
          <w:rFonts w:ascii="Times New Roman" w:hAnsi="Times New Roman" w:eastAsia="仿宋_GB2312" w:cs="Times New Roman"/>
          <w:sz w:val="32"/>
        </w:rPr>
        <w:t>专题研究。增强经济运行分析和监测，保障产业政策的联动推进、功能互补及整体优化。建立</w:t>
      </w:r>
      <w:r>
        <w:rPr>
          <w:rFonts w:hint="eastAsia" w:ascii="Times New Roman" w:hAnsi="Times New Roman" w:eastAsia="仿宋_GB2312" w:cs="Times New Roman"/>
          <w:sz w:val="32"/>
        </w:rPr>
        <w:t>市</w:t>
      </w:r>
      <w:r>
        <w:rPr>
          <w:rFonts w:ascii="Times New Roman" w:hAnsi="Times New Roman" w:eastAsia="仿宋_GB2312" w:cs="Times New Roman"/>
          <w:sz w:val="32"/>
        </w:rPr>
        <w:t>级工业专家咨询委员会，发挥各领域专家的参谋指导作用，提升政府决策能力和管理服务水平。</w:t>
      </w:r>
    </w:p>
    <w:p w14:paraId="36BDF384">
      <w:pPr>
        <w:pStyle w:val="12"/>
        <w:spacing w:after="0" w:line="600" w:lineRule="exact"/>
        <w:ind w:left="0" w:leftChars="0" w:firstLine="643" w:firstLineChars="200"/>
        <w:rPr>
          <w:rFonts w:ascii="Times New Roman" w:hAnsi="Times New Roman" w:eastAsia="仿宋_GB2312" w:cs="Times New Roman"/>
          <w:sz w:val="32"/>
        </w:rPr>
      </w:pPr>
      <w:r>
        <w:rPr>
          <w:rFonts w:ascii="Times New Roman" w:hAnsi="Times New Roman" w:eastAsia="仿宋_GB2312" w:cs="Times New Roman"/>
          <w:b/>
          <w:bCs/>
          <w:sz w:val="32"/>
        </w:rPr>
        <w:t>建立</w:t>
      </w:r>
      <w:r>
        <w:rPr>
          <w:rFonts w:hint="eastAsia" w:ascii="Times New Roman" w:hAnsi="Times New Roman" w:eastAsia="仿宋_GB2312" w:cs="Times New Roman"/>
          <w:b/>
          <w:bCs/>
          <w:sz w:val="32"/>
        </w:rPr>
        <w:t>企业</w:t>
      </w:r>
      <w:r>
        <w:rPr>
          <w:rFonts w:ascii="Times New Roman" w:hAnsi="Times New Roman" w:eastAsia="仿宋_GB2312" w:cs="Times New Roman"/>
          <w:b/>
          <w:bCs/>
          <w:sz w:val="32"/>
        </w:rPr>
        <w:t>考核</w:t>
      </w:r>
      <w:r>
        <w:rPr>
          <w:rFonts w:hint="eastAsia" w:ascii="Times New Roman" w:hAnsi="Times New Roman" w:eastAsia="仿宋_GB2312" w:cs="Times New Roman"/>
          <w:b/>
          <w:bCs/>
          <w:sz w:val="32"/>
        </w:rPr>
        <w:t>评价</w:t>
      </w:r>
      <w:r>
        <w:rPr>
          <w:rFonts w:ascii="Times New Roman" w:hAnsi="Times New Roman" w:eastAsia="仿宋_GB2312" w:cs="Times New Roman"/>
          <w:b/>
          <w:bCs/>
          <w:sz w:val="32"/>
        </w:rPr>
        <w:t>机制</w:t>
      </w:r>
      <w:r>
        <w:rPr>
          <w:rFonts w:hint="eastAsia" w:ascii="Times New Roman" w:hAnsi="Times New Roman" w:eastAsia="仿宋_GB2312" w:cs="Times New Roman"/>
          <w:b/>
          <w:bCs/>
          <w:sz w:val="32"/>
        </w:rPr>
        <w:t>。</w:t>
      </w:r>
      <w:r>
        <w:rPr>
          <w:rFonts w:hint="eastAsia" w:ascii="Times New Roman" w:hAnsi="Times New Roman" w:eastAsia="仿宋_GB2312" w:cs="Times New Roman"/>
          <w:sz w:val="32"/>
        </w:rPr>
        <w:t>建立一套以亩均税收、亩均工业增加值、亩均销售收入等为主要指标的工业企业亩产效益综合评价体系，建立健全分类分档、公开排序、动态管理的企业综合考核评价机制。</w:t>
      </w:r>
      <w:r>
        <w:rPr>
          <w:rFonts w:ascii="Times New Roman" w:hAnsi="Times New Roman" w:eastAsia="仿宋_GB2312" w:cs="Times New Roman"/>
          <w:sz w:val="32"/>
        </w:rPr>
        <w:t>建立过程监管体系和效果评价体系，定期对</w:t>
      </w:r>
      <w:r>
        <w:rPr>
          <w:rFonts w:hint="eastAsia" w:ascii="Times New Roman" w:hAnsi="Times New Roman" w:eastAsia="仿宋_GB2312" w:cs="Times New Roman"/>
          <w:sz w:val="32"/>
        </w:rPr>
        <w:t>企业经济运行</w:t>
      </w:r>
      <w:r>
        <w:rPr>
          <w:rFonts w:ascii="Times New Roman" w:hAnsi="Times New Roman" w:eastAsia="仿宋_GB2312" w:cs="Times New Roman"/>
          <w:sz w:val="32"/>
        </w:rPr>
        <w:t>情况进行考核评价。实行分类建库、分类考核、分类排位，对</w:t>
      </w:r>
      <w:r>
        <w:rPr>
          <w:rFonts w:hint="eastAsia" w:ascii="Times New Roman" w:hAnsi="Times New Roman" w:eastAsia="仿宋_GB2312" w:cs="Times New Roman"/>
          <w:sz w:val="32"/>
        </w:rPr>
        <w:t>发展成效显著</w:t>
      </w:r>
      <w:r>
        <w:rPr>
          <w:rFonts w:ascii="Times New Roman" w:hAnsi="Times New Roman" w:eastAsia="仿宋_GB2312" w:cs="Times New Roman"/>
          <w:sz w:val="32"/>
        </w:rPr>
        <w:t>的</w:t>
      </w:r>
      <w:r>
        <w:rPr>
          <w:rFonts w:hint="eastAsia" w:ascii="Times New Roman" w:hAnsi="Times New Roman" w:eastAsia="仿宋_GB2312" w:cs="Times New Roman"/>
          <w:sz w:val="32"/>
        </w:rPr>
        <w:t>企业重点支持。</w:t>
      </w:r>
    </w:p>
    <w:p w14:paraId="7E1BAAAC">
      <w:pPr>
        <w:pStyle w:val="12"/>
        <w:spacing w:after="0" w:line="600" w:lineRule="exact"/>
        <w:ind w:left="0" w:leftChars="0" w:firstLine="643" w:firstLineChars="200"/>
        <w:rPr>
          <w:rFonts w:ascii="Times New Roman" w:hAnsi="Times New Roman" w:eastAsia="仿宋_GB2312" w:cs="Times New Roman"/>
          <w:sz w:val="32"/>
        </w:rPr>
      </w:pPr>
      <w:r>
        <w:rPr>
          <w:rFonts w:ascii="Times New Roman" w:hAnsi="Times New Roman" w:eastAsia="仿宋_GB2312" w:cs="Times New Roman"/>
          <w:b/>
          <w:bCs/>
          <w:sz w:val="32"/>
        </w:rPr>
        <w:t>建立目标责任落实机制。</w:t>
      </w:r>
      <w:r>
        <w:rPr>
          <w:rFonts w:ascii="Times New Roman" w:hAnsi="Times New Roman" w:eastAsia="仿宋_GB2312" w:cs="Times New Roman"/>
          <w:sz w:val="32"/>
        </w:rPr>
        <w:t>按照规划目标，确定工作推进措施和责任，由相关责任部门组织落实。强化工作督查机制，成立督导小组，针对园区建设、招商引资、人才引进、企业培育、配套保障等方面的工作，每年上、下半年各</w:t>
      </w:r>
      <w:r>
        <w:rPr>
          <w:rFonts w:hint="eastAsia" w:ascii="Times New Roman" w:hAnsi="Times New Roman" w:eastAsia="仿宋_GB2312" w:cs="Times New Roman"/>
          <w:sz w:val="32"/>
        </w:rPr>
        <w:t>开展</w:t>
      </w:r>
      <w:r>
        <w:rPr>
          <w:rFonts w:ascii="Times New Roman" w:hAnsi="Times New Roman" w:eastAsia="仿宋_GB2312" w:cs="Times New Roman"/>
          <w:sz w:val="32"/>
        </w:rPr>
        <w:t>一次对园区、责任部门</w:t>
      </w:r>
      <w:r>
        <w:rPr>
          <w:rFonts w:hint="eastAsia" w:ascii="Times New Roman" w:hAnsi="Times New Roman" w:eastAsia="仿宋_GB2312" w:cs="Times New Roman"/>
          <w:sz w:val="32"/>
        </w:rPr>
        <w:t>的</w:t>
      </w:r>
      <w:r>
        <w:rPr>
          <w:rFonts w:ascii="Times New Roman" w:hAnsi="Times New Roman" w:eastAsia="仿宋_GB2312" w:cs="Times New Roman"/>
          <w:sz w:val="32"/>
        </w:rPr>
        <w:t>督查督导。加大舆论宣传力度，营造全社会关心、支持、参与工业发展的良好氛围。</w:t>
      </w:r>
    </w:p>
    <w:p w14:paraId="39631472">
      <w:pPr>
        <w:pStyle w:val="12"/>
        <w:spacing w:after="0" w:line="600" w:lineRule="exact"/>
        <w:ind w:left="0" w:leftChars="0" w:firstLine="643" w:firstLineChars="200"/>
        <w:rPr>
          <w:rFonts w:ascii="Times New Roman" w:hAnsi="Times New Roman" w:eastAsia="仿宋_GB2312" w:cs="Times New Roman"/>
          <w:sz w:val="32"/>
        </w:rPr>
      </w:pPr>
      <w:r>
        <w:rPr>
          <w:rFonts w:ascii="Times New Roman" w:hAnsi="Times New Roman" w:eastAsia="仿宋_GB2312" w:cs="Times New Roman"/>
          <w:b/>
          <w:bCs/>
          <w:sz w:val="32"/>
        </w:rPr>
        <w:t>推进安全生产应急联动机制建设</w:t>
      </w:r>
      <w:r>
        <w:rPr>
          <w:rFonts w:hint="eastAsia" w:ascii="Times New Roman" w:hAnsi="Times New Roman" w:eastAsia="仿宋_GB2312" w:cs="Times New Roman"/>
          <w:b/>
          <w:bCs/>
          <w:sz w:val="32"/>
        </w:rPr>
        <w:t>。</w:t>
      </w:r>
      <w:r>
        <w:rPr>
          <w:rFonts w:ascii="Times New Roman" w:hAnsi="Times New Roman" w:eastAsia="仿宋_GB2312" w:cs="Times New Roman"/>
          <w:sz w:val="32"/>
        </w:rPr>
        <w:t>狠抓工业领域安全生产，全面落实企业安全生产主体责任，继续实施煤矿安全专项整治行动，开展工业企业安全生产检查，加大安全生产宣传</w:t>
      </w:r>
      <w:r>
        <w:rPr>
          <w:rFonts w:hint="eastAsia" w:ascii="Times New Roman" w:hAnsi="Times New Roman" w:eastAsia="仿宋_GB2312" w:cs="Times New Roman"/>
          <w:sz w:val="32"/>
        </w:rPr>
        <w:t>。落实职业病防治主体责任，引导重点行业加强职业病危害防治。</w:t>
      </w:r>
      <w:r>
        <w:rPr>
          <w:rFonts w:ascii="Times New Roman" w:hAnsi="Times New Roman" w:eastAsia="仿宋_GB2312" w:cs="Times New Roman"/>
          <w:sz w:val="32"/>
        </w:rPr>
        <w:t>深化</w:t>
      </w:r>
      <w:r>
        <w:rPr>
          <w:rFonts w:hint="eastAsia" w:ascii="Times New Roman" w:hAnsi="Times New Roman" w:eastAsia="仿宋_GB2312" w:cs="Times New Roman"/>
          <w:sz w:val="32"/>
        </w:rPr>
        <w:t>“</w:t>
      </w:r>
      <w:r>
        <w:rPr>
          <w:rFonts w:ascii="Times New Roman" w:hAnsi="Times New Roman" w:eastAsia="仿宋_GB2312" w:cs="Times New Roman"/>
          <w:sz w:val="32"/>
        </w:rPr>
        <w:t>工业互联网+安全生产</w:t>
      </w:r>
      <w:r>
        <w:rPr>
          <w:rFonts w:hint="eastAsia" w:ascii="Times New Roman" w:hAnsi="Times New Roman" w:eastAsia="仿宋_GB2312" w:cs="Times New Roman"/>
          <w:sz w:val="32"/>
        </w:rPr>
        <w:t>”，</w:t>
      </w:r>
      <w:r>
        <w:rPr>
          <w:rFonts w:ascii="Times New Roman" w:hAnsi="Times New Roman" w:eastAsia="仿宋_GB2312" w:cs="Times New Roman"/>
          <w:sz w:val="32"/>
        </w:rPr>
        <w:t>充分发挥工业互联网平台科技优势，鼓励建设重点行业工业互联网安全生产监管平台，形成工业互联网与安全生产协同推进发展格局，</w:t>
      </w:r>
      <w:r>
        <w:rPr>
          <w:rFonts w:hint="default" w:ascii="Times New Roman" w:hAnsi="Times New Roman" w:eastAsia="仿宋_GB2312" w:cs="Times New Roman"/>
          <w:sz w:val="32"/>
          <w:szCs w:val="24"/>
        </w:rPr>
        <w:t>提升</w:t>
      </w:r>
      <w:r>
        <w:rPr>
          <w:rFonts w:ascii="Times New Roman" w:hAnsi="Times New Roman" w:eastAsia="仿宋_GB2312" w:cs="Times New Roman"/>
          <w:sz w:val="32"/>
          <w:szCs w:val="24"/>
        </w:rPr>
        <w:t>安全</w:t>
      </w:r>
      <w:r>
        <w:rPr>
          <w:rFonts w:hint="default" w:ascii="Times New Roman" w:hAnsi="Times New Roman" w:eastAsia="仿宋_GB2312" w:cs="Times New Roman"/>
          <w:sz w:val="32"/>
          <w:szCs w:val="24"/>
        </w:rPr>
        <w:t>风险</w:t>
      </w:r>
      <w:r>
        <w:rPr>
          <w:rFonts w:ascii="Times New Roman" w:hAnsi="Times New Roman" w:eastAsia="仿宋_GB2312" w:cs="Times New Roman"/>
          <w:sz w:val="32"/>
          <w:szCs w:val="24"/>
        </w:rPr>
        <w:t>监测预警</w:t>
      </w:r>
      <w:r>
        <w:rPr>
          <w:rFonts w:hint="default" w:ascii="Times New Roman" w:hAnsi="Times New Roman" w:eastAsia="仿宋_GB2312" w:cs="Times New Roman"/>
          <w:sz w:val="32"/>
          <w:szCs w:val="24"/>
        </w:rPr>
        <w:t>和</w:t>
      </w:r>
      <w:r>
        <w:rPr>
          <w:rFonts w:ascii="Times New Roman" w:hAnsi="Times New Roman" w:eastAsia="仿宋_GB2312" w:cs="Times New Roman"/>
          <w:sz w:val="32"/>
          <w:szCs w:val="24"/>
        </w:rPr>
        <w:t>及时处置能力</w:t>
      </w:r>
      <w:r>
        <w:rPr>
          <w:rFonts w:hint="default" w:ascii="Times New Roman" w:hAnsi="Times New Roman" w:eastAsia="仿宋_GB2312" w:cs="Times New Roman"/>
          <w:sz w:val="32"/>
          <w:szCs w:val="24"/>
        </w:rPr>
        <w:t>，</w:t>
      </w:r>
      <w:r>
        <w:rPr>
          <w:rFonts w:ascii="Times New Roman" w:hAnsi="Times New Roman" w:eastAsia="仿宋_GB2312" w:cs="Times New Roman"/>
          <w:sz w:val="32"/>
        </w:rPr>
        <w:t>有效防范和坚决遏制各类事故的发生。加强与国土、消防、环保、交通、供电等部门单位间的沟通协作，进一步完善应对生产安全事故的应急救援协调联动机制，完善联合应对事故灾难的指挥协调和救援保障机制，促进应急资源共享，提高联合救援能力。</w:t>
      </w:r>
    </w:p>
    <w:p w14:paraId="687D3D62">
      <w:pPr>
        <w:spacing w:line="600" w:lineRule="exact"/>
        <w:ind w:firstLine="643" w:firstLineChars="200"/>
        <w:outlineLvl w:val="1"/>
        <w:rPr>
          <w:rFonts w:ascii="楷体_GB2312" w:hAnsi="楷体_GB2312" w:eastAsia="楷体_GB2312" w:cs="楷体_GB2312"/>
          <w:b/>
          <w:bCs/>
          <w:sz w:val="32"/>
          <w:szCs w:val="32"/>
        </w:rPr>
      </w:pPr>
      <w:bookmarkStart w:id="438" w:name="_Toc5824"/>
      <w:bookmarkStart w:id="439" w:name="_Toc29712"/>
      <w:bookmarkStart w:id="440" w:name="_Toc27228"/>
      <w:bookmarkStart w:id="441" w:name="_Toc10827"/>
      <w:bookmarkStart w:id="442" w:name="_Toc23551"/>
      <w:bookmarkStart w:id="443" w:name="_Toc9717"/>
      <w:bookmarkStart w:id="444" w:name="_Toc14795"/>
      <w:bookmarkStart w:id="445" w:name="_Toc23951"/>
      <w:bookmarkStart w:id="446" w:name="_Toc19052"/>
      <w:bookmarkStart w:id="447" w:name="_Toc22454"/>
      <w:bookmarkStart w:id="448" w:name="_Toc13329"/>
      <w:bookmarkStart w:id="449" w:name="_Toc31939"/>
      <w:bookmarkStart w:id="450" w:name="_Toc32464"/>
      <w:bookmarkStart w:id="451" w:name="_Toc16446"/>
      <w:bookmarkStart w:id="452" w:name="_Toc30783"/>
      <w:r>
        <w:rPr>
          <w:rFonts w:ascii="楷体_GB2312" w:hAnsi="楷体_GB2312" w:eastAsia="楷体_GB2312" w:cs="楷体_GB2312"/>
          <w:b/>
          <w:bCs/>
          <w:sz w:val="32"/>
          <w:szCs w:val="32"/>
        </w:rPr>
        <w:t>（</w:t>
      </w:r>
      <w:r>
        <w:rPr>
          <w:rFonts w:hint="eastAsia" w:ascii="楷体_GB2312" w:hAnsi="楷体_GB2312" w:eastAsia="楷体_GB2312" w:cs="楷体_GB2312"/>
          <w:b/>
          <w:bCs/>
          <w:sz w:val="32"/>
          <w:szCs w:val="32"/>
        </w:rPr>
        <w:t>四</w:t>
      </w:r>
      <w:r>
        <w:rPr>
          <w:rFonts w:ascii="楷体_GB2312" w:hAnsi="楷体_GB2312" w:eastAsia="楷体_GB2312" w:cs="楷体_GB2312"/>
          <w:b/>
          <w:bCs/>
          <w:sz w:val="32"/>
          <w:szCs w:val="32"/>
        </w:rPr>
        <w:t>）优化发展环境</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14:paraId="1EBCBEC0">
      <w:pPr>
        <w:pStyle w:val="12"/>
        <w:spacing w:after="0" w:line="600" w:lineRule="exact"/>
        <w:ind w:left="0" w:leftChars="0" w:firstLine="643" w:firstLineChars="200"/>
        <w:rPr>
          <w:rFonts w:ascii="Times New Roman" w:hAnsi="Times New Roman" w:eastAsia="仿宋_GB2312" w:cs="Times New Roman"/>
          <w:sz w:val="32"/>
        </w:rPr>
      </w:pPr>
      <w:r>
        <w:rPr>
          <w:rFonts w:ascii="Times New Roman" w:hAnsi="Times New Roman" w:eastAsia="仿宋_GB2312" w:cs="Times New Roman"/>
          <w:b/>
          <w:bCs/>
          <w:sz w:val="32"/>
        </w:rPr>
        <w:t>加强基础设施建设。</w:t>
      </w:r>
      <w:r>
        <w:rPr>
          <w:rFonts w:ascii="Times New Roman" w:hAnsi="Times New Roman" w:eastAsia="仿宋_GB2312" w:cs="Times New Roman"/>
          <w:sz w:val="32"/>
        </w:rPr>
        <w:t>提升基础设施建设水平，重点解决企业用气</w:t>
      </w:r>
      <w:r>
        <w:rPr>
          <w:rFonts w:hint="eastAsia" w:ascii="Times New Roman" w:hAnsi="Times New Roman" w:eastAsia="仿宋_GB2312" w:cs="Times New Roman"/>
          <w:sz w:val="32"/>
        </w:rPr>
        <w:t>、用电、用水</w:t>
      </w:r>
      <w:r>
        <w:rPr>
          <w:rFonts w:ascii="Times New Roman" w:hAnsi="Times New Roman" w:eastAsia="仿宋_GB2312" w:cs="Times New Roman"/>
          <w:sz w:val="32"/>
        </w:rPr>
        <w:t>问题。实施道路交通提升工程，完善交通路网建设，提升道路通达水平。持续推进标准化厂房建设，邀请专业团队参与标准化厂房设计规划，通过搭建专业化通用厂房，优化功能配套。加快部署高速、宽带、移动、泛在的信息网络基础设施，围绕5G应用、人工智能、大数据、工业互联网等新兴优势产业，科学布局</w:t>
      </w:r>
      <w:r>
        <w:rPr>
          <w:rFonts w:hint="eastAsia" w:ascii="Times New Roman" w:hAnsi="Times New Roman" w:eastAsia="仿宋_GB2312" w:cs="Times New Roman"/>
          <w:sz w:val="32"/>
        </w:rPr>
        <w:t>“</w:t>
      </w:r>
      <w:r>
        <w:rPr>
          <w:rFonts w:ascii="Times New Roman" w:hAnsi="Times New Roman" w:eastAsia="仿宋_GB2312" w:cs="Times New Roman"/>
          <w:sz w:val="32"/>
        </w:rPr>
        <w:t>新基建</w:t>
      </w:r>
      <w:r>
        <w:rPr>
          <w:rFonts w:hint="eastAsia" w:ascii="Times New Roman" w:hAnsi="Times New Roman" w:eastAsia="仿宋_GB2312" w:cs="Times New Roman"/>
          <w:sz w:val="32"/>
        </w:rPr>
        <w:t>”</w:t>
      </w:r>
      <w:r>
        <w:rPr>
          <w:rFonts w:ascii="Times New Roman" w:hAnsi="Times New Roman" w:eastAsia="仿宋_GB2312" w:cs="Times New Roman"/>
          <w:sz w:val="32"/>
        </w:rPr>
        <w:t>，推动智慧园区、智慧企业建设。</w:t>
      </w:r>
    </w:p>
    <w:p w14:paraId="686E752B">
      <w:pPr>
        <w:pStyle w:val="12"/>
        <w:spacing w:after="0" w:line="600" w:lineRule="exact"/>
        <w:ind w:left="0" w:leftChars="0" w:firstLine="643" w:firstLineChars="200"/>
        <w:rPr>
          <w:rFonts w:ascii="Times New Roman" w:hAnsi="Times New Roman" w:eastAsia="仿宋_GB2312" w:cs="Times New Roman"/>
          <w:sz w:val="32"/>
        </w:rPr>
      </w:pPr>
      <w:r>
        <w:rPr>
          <w:rFonts w:hint="eastAsia" w:ascii="Times New Roman" w:hAnsi="Times New Roman" w:eastAsia="仿宋_GB2312" w:cs="Times New Roman"/>
          <w:b/>
          <w:bCs/>
          <w:sz w:val="32"/>
        </w:rPr>
        <w:t>完善</w:t>
      </w:r>
      <w:r>
        <w:rPr>
          <w:rFonts w:ascii="Times New Roman" w:hAnsi="Times New Roman" w:eastAsia="仿宋_GB2312" w:cs="Times New Roman"/>
          <w:b/>
          <w:bCs/>
          <w:sz w:val="32"/>
        </w:rPr>
        <w:t>公共服务平台。</w:t>
      </w:r>
      <w:r>
        <w:rPr>
          <w:rFonts w:hint="eastAsia" w:ascii="Times New Roman" w:hAnsi="Times New Roman" w:eastAsia="仿宋_GB2312" w:cs="Times New Roman"/>
          <w:sz w:val="32"/>
        </w:rPr>
        <w:t>完善</w:t>
      </w:r>
      <w:r>
        <w:rPr>
          <w:rFonts w:ascii="Times New Roman" w:hAnsi="Times New Roman" w:eastAsia="仿宋_GB2312" w:cs="Times New Roman"/>
          <w:sz w:val="32"/>
        </w:rPr>
        <w:t>面向中小企业信息化的技术服务平台，整合企业、高校院所资源，提供基于互联网的行业共享式信息化解决方案，大幅降低企业信息化费用和技术门槛。建设工业电子商务平台，为企业提供降本增效通道，推动企业以智能化采购为核心，实现价格透明化、信息流便捷化、服务高效化的全面数字化转型。加快建设知识产权公共服务平台，强化平台功能设计，为知识产权公共服务体系提供强大功能支持。</w:t>
      </w:r>
    </w:p>
    <w:p w14:paraId="6CDFAD43">
      <w:pPr>
        <w:ind w:firstLine="643"/>
        <w:rPr>
          <w:rFonts w:hint="default" w:ascii="Times New Roman" w:hAnsi="Times New Roman" w:eastAsia="仿宋_GB2312" w:cs="Times New Roman"/>
          <w:sz w:val="32"/>
          <w:szCs w:val="24"/>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Times New Roman" w:hAnsi="Times New Roman" w:eastAsia="仿宋_GB2312" w:cs="Times New Roman"/>
          <w:b/>
          <w:bCs/>
          <w:sz w:val="32"/>
        </w:rPr>
        <w:t>优化企业营商环境</w:t>
      </w:r>
      <w:r>
        <w:rPr>
          <w:rFonts w:ascii="Times New Roman" w:hAnsi="Times New Roman" w:eastAsia="仿宋_GB2312" w:cs="Times New Roman"/>
          <w:b/>
          <w:bCs/>
          <w:sz w:val="32"/>
        </w:rPr>
        <w:t>。</w:t>
      </w:r>
      <w:r>
        <w:rPr>
          <w:rFonts w:hint="default" w:ascii="Times New Roman" w:hAnsi="Times New Roman" w:eastAsia="仿宋_GB2312" w:cs="Times New Roman"/>
          <w:color w:val="auto"/>
          <w:sz w:val="32"/>
          <w:lang w:val="en-US" w:eastAsia="zh-CN"/>
        </w:rPr>
        <w:t>认真落实尊重企业家尊重纳税人“十项制度”，优化“阜商服务卡”管理服务，营造尊重、支持、服务、包容企业家的浓厚氛围。大力实施民营经济上台阶计划，推进民营经济高质量发展。</w:t>
      </w:r>
      <w:r>
        <w:rPr>
          <w:rFonts w:ascii="Times New Roman" w:hAnsi="Times New Roman" w:eastAsia="仿宋_GB2312" w:cs="Times New Roman"/>
          <w:sz w:val="32"/>
        </w:rPr>
        <w:t>努力构建</w:t>
      </w:r>
      <w:r>
        <w:rPr>
          <w:rFonts w:hint="eastAsia" w:ascii="Times New Roman" w:hAnsi="Times New Roman" w:eastAsia="仿宋_GB2312" w:cs="Times New Roman"/>
          <w:sz w:val="32"/>
        </w:rPr>
        <w:t>“</w:t>
      </w:r>
      <w:r>
        <w:rPr>
          <w:rFonts w:ascii="Times New Roman" w:hAnsi="Times New Roman" w:eastAsia="仿宋_GB2312" w:cs="Times New Roman"/>
          <w:sz w:val="32"/>
        </w:rPr>
        <w:t>亲</w:t>
      </w:r>
      <w:r>
        <w:rPr>
          <w:rFonts w:hint="eastAsia" w:ascii="Times New Roman" w:hAnsi="Times New Roman" w:eastAsia="仿宋_GB2312" w:cs="Times New Roman"/>
          <w:sz w:val="32"/>
        </w:rPr>
        <w:t>”“</w:t>
      </w:r>
      <w:r>
        <w:rPr>
          <w:rFonts w:ascii="Times New Roman" w:hAnsi="Times New Roman" w:eastAsia="仿宋_GB2312" w:cs="Times New Roman"/>
          <w:sz w:val="32"/>
        </w:rPr>
        <w:t>清</w:t>
      </w:r>
      <w:r>
        <w:rPr>
          <w:rFonts w:hint="eastAsia" w:ascii="Times New Roman" w:hAnsi="Times New Roman" w:eastAsia="仿宋_GB2312" w:cs="Times New Roman"/>
          <w:sz w:val="32"/>
        </w:rPr>
        <w:t>”</w:t>
      </w:r>
      <w:r>
        <w:rPr>
          <w:rFonts w:ascii="Times New Roman" w:hAnsi="Times New Roman" w:eastAsia="仿宋_GB2312" w:cs="Times New Roman"/>
          <w:sz w:val="32"/>
        </w:rPr>
        <w:t>新型政商关系，强化服务意识，加大简政放权改革力度，规范重点领域行政职权和商事制度改革后置审批事项，明确</w:t>
      </w:r>
      <w:r>
        <w:rPr>
          <w:rFonts w:hint="eastAsia" w:ascii="Times New Roman" w:hAnsi="Times New Roman" w:eastAsia="仿宋_GB2312" w:cs="Times New Roman"/>
          <w:sz w:val="32"/>
        </w:rPr>
        <w:t>“</w:t>
      </w:r>
      <w:r>
        <w:rPr>
          <w:rFonts w:ascii="Times New Roman" w:hAnsi="Times New Roman" w:eastAsia="仿宋_GB2312" w:cs="Times New Roman"/>
          <w:sz w:val="32"/>
        </w:rPr>
        <w:t>最多跑一次</w:t>
      </w:r>
      <w:r>
        <w:rPr>
          <w:rFonts w:hint="eastAsia" w:ascii="Times New Roman" w:hAnsi="Times New Roman" w:eastAsia="仿宋_GB2312" w:cs="Times New Roman"/>
          <w:sz w:val="32"/>
        </w:rPr>
        <w:t>”</w:t>
      </w:r>
      <w:r>
        <w:rPr>
          <w:rFonts w:ascii="Times New Roman" w:hAnsi="Times New Roman" w:eastAsia="仿宋_GB2312" w:cs="Times New Roman"/>
          <w:sz w:val="32"/>
        </w:rPr>
        <w:t>事项清单，逐步实现</w:t>
      </w:r>
      <w:r>
        <w:rPr>
          <w:rFonts w:hint="eastAsia" w:ascii="Times New Roman" w:hAnsi="Times New Roman" w:eastAsia="仿宋_GB2312" w:cs="Times New Roman"/>
          <w:sz w:val="32"/>
        </w:rPr>
        <w:t>“</w:t>
      </w:r>
      <w:r>
        <w:rPr>
          <w:rFonts w:ascii="Times New Roman" w:hAnsi="Times New Roman" w:eastAsia="仿宋_GB2312" w:cs="Times New Roman"/>
          <w:sz w:val="32"/>
        </w:rPr>
        <w:t>不见面审批</w:t>
      </w:r>
      <w:r>
        <w:rPr>
          <w:rFonts w:hint="eastAsia" w:ascii="Times New Roman" w:hAnsi="Times New Roman" w:eastAsia="仿宋_GB2312" w:cs="Times New Roman"/>
          <w:sz w:val="32"/>
        </w:rPr>
        <w:t>”，</w:t>
      </w:r>
      <w:r>
        <w:rPr>
          <w:rFonts w:ascii="Times New Roman" w:hAnsi="Times New Roman" w:eastAsia="仿宋_GB2312" w:cs="Times New Roman"/>
          <w:sz w:val="32"/>
        </w:rPr>
        <w:t>提升服务水平和行政效能。</w:t>
      </w:r>
      <w:r>
        <w:rPr>
          <w:rFonts w:hint="default" w:ascii="Times New Roman" w:hAnsi="Times New Roman" w:eastAsia="仿宋_GB2312" w:cs="Times New Roman"/>
          <w:sz w:val="32"/>
          <w:lang w:val="en-US" w:eastAsia="zh-CN"/>
        </w:rPr>
        <w:t>推深做实</w:t>
      </w:r>
      <w:r>
        <w:rPr>
          <w:rFonts w:hint="eastAsia" w:ascii="Times New Roman" w:hAnsi="Times New Roman" w:eastAsia="仿宋_GB2312" w:cs="Times New Roman"/>
          <w:sz w:val="32"/>
        </w:rPr>
        <w:t>“四送一服”</w:t>
      </w:r>
      <w:r>
        <w:rPr>
          <w:rFonts w:ascii="Times New Roman" w:hAnsi="Times New Roman" w:eastAsia="仿宋_GB2312" w:cs="Times New Roman"/>
          <w:sz w:val="32"/>
        </w:rPr>
        <w:t>活动，开展普惠金融进企业活动，为企业开展全方位</w:t>
      </w:r>
      <w:r>
        <w:rPr>
          <w:rFonts w:hint="eastAsia" w:ascii="Times New Roman" w:hAnsi="Times New Roman" w:eastAsia="仿宋_GB2312" w:cs="Times New Roman"/>
          <w:sz w:val="32"/>
        </w:rPr>
        <w:t>“</w:t>
      </w:r>
      <w:r>
        <w:rPr>
          <w:rFonts w:ascii="Times New Roman" w:hAnsi="Times New Roman" w:eastAsia="仿宋_GB2312" w:cs="Times New Roman"/>
          <w:sz w:val="32"/>
        </w:rPr>
        <w:t>体检</w:t>
      </w:r>
      <w:r>
        <w:rPr>
          <w:rFonts w:hint="default" w:ascii="Times New Roman" w:hAnsi="Times New Roman" w:eastAsia="仿宋_GB2312" w:cs="Times New Roman"/>
          <w:sz w:val="32"/>
        </w:rPr>
        <w:t>”</w:t>
      </w:r>
      <w:r>
        <w:rPr>
          <w:rFonts w:ascii="Times New Roman" w:hAnsi="Times New Roman" w:eastAsia="仿宋_GB2312" w:cs="Times New Roman"/>
          <w:sz w:val="32"/>
        </w:rPr>
        <w:t>，</w:t>
      </w:r>
      <w:r>
        <w:rPr>
          <w:rFonts w:hint="eastAsia" w:ascii="Times New Roman" w:hAnsi="Times New Roman" w:eastAsia="仿宋_GB2312" w:cs="Times New Roman"/>
          <w:sz w:val="32"/>
        </w:rPr>
        <w:t>精准帮扶指导，助力企业纾困解难</w:t>
      </w:r>
      <w:r>
        <w:rPr>
          <w:rFonts w:ascii="Times New Roman" w:hAnsi="Times New Roman" w:eastAsia="仿宋_GB2312" w:cs="Times New Roman"/>
          <w:sz w:val="32"/>
        </w:rPr>
        <w:t>。</w:t>
      </w:r>
    </w:p>
    <w:p w14:paraId="5A2782CF">
      <w:pPr>
        <w:pStyle w:val="13"/>
        <w:outlineLvl w:val="0"/>
        <w:rPr>
          <w:rFonts w:ascii="黑体" w:hAnsi="黑体" w:eastAsia="黑体" w:cs="黑体"/>
          <w:sz w:val="32"/>
          <w:szCs w:val="32"/>
        </w:rPr>
      </w:pPr>
      <w:bookmarkStart w:id="453" w:name="_Toc2282"/>
      <w:bookmarkStart w:id="454" w:name="_Toc23692"/>
      <w:bookmarkStart w:id="455" w:name="_Toc20868"/>
      <w:bookmarkStart w:id="456" w:name="_Toc20830"/>
      <w:bookmarkStart w:id="457" w:name="_Toc20832"/>
      <w:bookmarkStart w:id="458" w:name="_Toc28037"/>
      <w:bookmarkStart w:id="459" w:name="_Toc2677"/>
      <w:bookmarkStart w:id="460" w:name="_Toc23078"/>
      <w:bookmarkStart w:id="461" w:name="_Toc25213"/>
      <w:bookmarkStart w:id="462" w:name="_Toc6786"/>
      <w:bookmarkStart w:id="463" w:name="_Toc16689"/>
      <w:r>
        <w:rPr>
          <w:rFonts w:hint="eastAsia" w:ascii="黑体" w:hAnsi="黑体" w:eastAsia="黑体" w:cs="黑体"/>
          <w:sz w:val="32"/>
          <w:szCs w:val="32"/>
        </w:rPr>
        <w:t>附件一：</w:t>
      </w:r>
      <w:r>
        <w:rPr>
          <w:rFonts w:hint="eastAsia" w:ascii="黑体" w:hAnsi="黑体" w:eastAsia="黑体" w:cs="黑体"/>
          <w:kern w:val="2"/>
          <w:sz w:val="32"/>
          <w:szCs w:val="32"/>
          <w:lang w:val="en-US" w:eastAsia="en-US" w:bidi="ar-SA"/>
        </w:rPr>
        <w:t>阜阳市“十四五”工业发展</w:t>
      </w:r>
      <w:r>
        <w:rPr>
          <w:rFonts w:hint="eastAsia" w:ascii="黑体" w:hAnsi="黑体" w:eastAsia="黑体" w:cs="黑体"/>
          <w:sz w:val="32"/>
          <w:szCs w:val="32"/>
        </w:rPr>
        <w:t>规划编制依据</w:t>
      </w:r>
      <w:bookmarkEnd w:id="453"/>
      <w:bookmarkEnd w:id="454"/>
      <w:bookmarkEnd w:id="455"/>
      <w:bookmarkEnd w:id="456"/>
      <w:bookmarkEnd w:id="457"/>
      <w:bookmarkEnd w:id="458"/>
      <w:bookmarkEnd w:id="459"/>
      <w:bookmarkEnd w:id="460"/>
      <w:bookmarkEnd w:id="461"/>
      <w:bookmarkEnd w:id="462"/>
      <w:bookmarkEnd w:id="463"/>
    </w:p>
    <w:p w14:paraId="11640335">
      <w:pPr>
        <w:pStyle w:val="23"/>
        <w:spacing w:after="0" w:line="600" w:lineRule="exact"/>
        <w:ind w:left="0" w:leftChars="0"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1.《中华人民共和国</w:t>
      </w:r>
      <w:r>
        <w:rPr>
          <w:rFonts w:ascii="仿宋_GB2312" w:hAnsi="仿宋_GB2312" w:eastAsia="仿宋_GB2312" w:cs="仿宋_GB2312"/>
          <w:kern w:val="0"/>
          <w:sz w:val="32"/>
          <w:szCs w:val="32"/>
        </w:rPr>
        <w:t>国民经济和社会发展第十四个五年规划和2035年远景目标纲要</w:t>
      </w:r>
      <w:r>
        <w:rPr>
          <w:rFonts w:hint="eastAsia" w:ascii="仿宋_GB2312" w:hAnsi="仿宋_GB2312" w:eastAsia="仿宋_GB2312" w:cs="仿宋_GB2312"/>
          <w:kern w:val="0"/>
          <w:sz w:val="32"/>
          <w:szCs w:val="32"/>
        </w:rPr>
        <w:t>》；</w:t>
      </w:r>
    </w:p>
    <w:p w14:paraId="2880B6BB">
      <w:pPr>
        <w:pStyle w:val="23"/>
        <w:spacing w:after="0" w:line="600" w:lineRule="exact"/>
        <w:ind w:left="0" w:leftChars="0"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2.《长江三角洲区域一体化发展规划纲要》；</w:t>
      </w:r>
    </w:p>
    <w:p w14:paraId="38A00C34">
      <w:pPr>
        <w:pStyle w:val="23"/>
        <w:spacing w:after="0" w:line="600" w:lineRule="exact"/>
        <w:ind w:left="0" w:leftChars="0"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3.《促进皖北产业转移集聚区建设的若干政策措施》；</w:t>
      </w:r>
    </w:p>
    <w:p w14:paraId="78DEEED4">
      <w:pPr>
        <w:pStyle w:val="23"/>
        <w:spacing w:after="0" w:line="600" w:lineRule="exact"/>
        <w:ind w:left="0" w:leftChars="0"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4.《关于推动先进制造业和现代服务业深度融合发展的实施意见》；</w:t>
      </w:r>
    </w:p>
    <w:p w14:paraId="772118B1">
      <w:pPr>
        <w:pStyle w:val="23"/>
        <w:spacing w:after="0" w:line="600" w:lineRule="exact"/>
        <w:ind w:left="0" w:leftChars="0" w:firstLine="640"/>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rPr>
        <w:t>5.《“十四五”循环经济发展规划》</w:t>
      </w:r>
      <w:r>
        <w:rPr>
          <w:rFonts w:hint="eastAsia" w:ascii="仿宋_GB2312" w:hAnsi="仿宋_GB2312" w:eastAsia="仿宋_GB2312" w:cs="仿宋_GB2312"/>
          <w:kern w:val="0"/>
          <w:sz w:val="32"/>
          <w:szCs w:val="32"/>
          <w:lang w:eastAsia="zh-CN"/>
        </w:rPr>
        <w:t>；</w:t>
      </w:r>
    </w:p>
    <w:p w14:paraId="7D33B99A">
      <w:pPr>
        <w:pStyle w:val="23"/>
        <w:spacing w:after="0" w:line="600" w:lineRule="exact"/>
        <w:ind w:left="0" w:leftChars="0" w:firstLine="640"/>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工业互联网创新发展行动计划（2021-2023年）</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w:t>
      </w:r>
    </w:p>
    <w:p w14:paraId="1095634E">
      <w:pPr>
        <w:pStyle w:val="23"/>
        <w:spacing w:after="0" w:line="600" w:lineRule="exact"/>
        <w:ind w:left="0" w:leftChars="0"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7</w:t>
      </w:r>
      <w:r>
        <w:rPr>
          <w:rFonts w:hint="eastAsia" w:ascii="仿宋_GB2312" w:hAnsi="仿宋_GB2312" w:eastAsia="仿宋_GB2312" w:cs="仿宋_GB2312"/>
          <w:kern w:val="0"/>
          <w:sz w:val="32"/>
          <w:szCs w:val="32"/>
        </w:rPr>
        <w:t>.《工业和信息化部关于工业大数据发展的指导意见》；</w:t>
      </w:r>
    </w:p>
    <w:p w14:paraId="10105952">
      <w:pPr>
        <w:pStyle w:val="23"/>
        <w:spacing w:after="0" w:line="600" w:lineRule="exact"/>
        <w:ind w:left="0" w:leftChars="0"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8</w:t>
      </w:r>
      <w:r>
        <w:rPr>
          <w:rFonts w:hint="eastAsia" w:ascii="仿宋_GB2312" w:hAnsi="仿宋_GB2312" w:eastAsia="仿宋_GB2312" w:cs="仿宋_GB2312"/>
          <w:kern w:val="0"/>
          <w:sz w:val="32"/>
          <w:szCs w:val="32"/>
        </w:rPr>
        <w:t>.《安徽省国民经济和社会发展第十四个五年规划和二〇三五年远景目标纲要》；</w:t>
      </w:r>
    </w:p>
    <w:p w14:paraId="5FC4EF22">
      <w:pPr>
        <w:pStyle w:val="23"/>
        <w:spacing w:after="0" w:line="600" w:lineRule="exact"/>
        <w:ind w:left="0" w:leftChars="0"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9</w:t>
      </w:r>
      <w:r>
        <w:rPr>
          <w:rFonts w:hint="eastAsia" w:ascii="仿宋_GB2312" w:hAnsi="仿宋_GB2312" w:eastAsia="仿宋_GB2312" w:cs="仿宋_GB2312"/>
          <w:kern w:val="0"/>
          <w:sz w:val="32"/>
          <w:szCs w:val="32"/>
        </w:rPr>
        <w:t>.《安徽省人民政府关于印发支持制造强省建设若干政策的通知》；</w:t>
      </w:r>
    </w:p>
    <w:p w14:paraId="047840F6">
      <w:pPr>
        <w:pStyle w:val="23"/>
        <w:spacing w:after="0" w:line="600" w:lineRule="exact"/>
        <w:ind w:left="0" w:leftChars="0"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10</w:t>
      </w:r>
      <w:r>
        <w:rPr>
          <w:rFonts w:hint="eastAsia" w:ascii="仿宋_GB2312" w:hAnsi="仿宋_GB2312" w:eastAsia="仿宋_GB2312" w:cs="仿宋_GB2312"/>
          <w:kern w:val="0"/>
          <w:sz w:val="32"/>
          <w:szCs w:val="32"/>
        </w:rPr>
        <w:t>.《安徽省人民政府关于印发支持“三重一创”建设若干政策的通知》；</w:t>
      </w:r>
    </w:p>
    <w:p w14:paraId="57825773">
      <w:pPr>
        <w:pStyle w:val="23"/>
        <w:spacing w:after="0" w:line="600" w:lineRule="exact"/>
        <w:ind w:left="0" w:leftChars="0"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.《安徽省实施长江三角洲区域一体化发展规划纲要行动计划》；</w:t>
      </w:r>
    </w:p>
    <w:p w14:paraId="50AAB64D">
      <w:pPr>
        <w:pStyle w:val="23"/>
        <w:spacing w:after="0" w:line="600" w:lineRule="exact"/>
        <w:ind w:left="0" w:leftChars="0"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.《安徽省人民政府办公厅关于进一步发挥专精特新排头兵作用促进中小企业高质量发展的实施意见》；</w:t>
      </w:r>
    </w:p>
    <w:p w14:paraId="066EE149">
      <w:pPr>
        <w:pStyle w:val="23"/>
        <w:spacing w:after="0" w:line="600" w:lineRule="exact"/>
        <w:ind w:left="0" w:leftChars="0"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.《安徽省人民政府关于提升产业基础能力和产业链现代化水平的实施意见》；</w:t>
      </w:r>
    </w:p>
    <w:p w14:paraId="1C41F026">
      <w:pPr>
        <w:pStyle w:val="23"/>
        <w:spacing w:after="0" w:line="600" w:lineRule="exact"/>
        <w:ind w:left="0" w:leftChars="0"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w:t>
      </w:r>
      <w:r>
        <w:rPr>
          <w:rFonts w:hint="eastAsia" w:ascii="仿宋_GB2312" w:hAnsi="仿宋_GB2312" w:eastAsia="仿宋_GB2312" w:cs="仿宋_GB2312"/>
          <w:kern w:val="0"/>
          <w:sz w:val="32"/>
          <w:szCs w:val="32"/>
          <w:lang w:val="en-US" w:eastAsia="zh-CN"/>
        </w:rPr>
        <w:t>4</w:t>
      </w:r>
      <w:r>
        <w:rPr>
          <w:rFonts w:hint="eastAsia" w:ascii="仿宋_GB2312" w:hAnsi="仿宋_GB2312" w:eastAsia="仿宋_GB2312" w:cs="仿宋_GB2312"/>
          <w:kern w:val="0"/>
          <w:sz w:val="32"/>
          <w:szCs w:val="32"/>
        </w:rPr>
        <w:t>.《安徽省人民政府关于印发支持科技创新若干政策的通知》；</w:t>
      </w:r>
    </w:p>
    <w:p w14:paraId="54C11B05">
      <w:pPr>
        <w:pStyle w:val="23"/>
        <w:spacing w:after="0" w:line="600" w:lineRule="exact"/>
        <w:ind w:left="0" w:leftChars="0"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w:t>
      </w: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rPr>
        <w:t>.《安徽省人民政府关于印发支持技工大省建设若干政策的通知》；</w:t>
      </w:r>
    </w:p>
    <w:p w14:paraId="189DBAF2">
      <w:pPr>
        <w:pStyle w:val="23"/>
        <w:spacing w:after="0" w:line="600" w:lineRule="exact"/>
        <w:ind w:left="0" w:leftChars="0" w:firstLine="64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w:t>
      </w:r>
      <w:r>
        <w:rPr>
          <w:rFonts w:hint="eastAsia" w:ascii="仿宋_GB2312" w:hAnsi="仿宋_GB2312" w:eastAsia="仿宋_GB2312" w:cs="仿宋_GB2312"/>
          <w:bCs/>
          <w:sz w:val="32"/>
          <w:szCs w:val="32"/>
          <w:lang w:val="en-US" w:eastAsia="zh-CN"/>
        </w:rPr>
        <w:t>6</w:t>
      </w:r>
      <w:r>
        <w:rPr>
          <w:rFonts w:hint="eastAsia" w:ascii="仿宋_GB2312" w:hAnsi="仿宋_GB2312" w:eastAsia="仿宋_GB2312" w:cs="仿宋_GB2312"/>
          <w:bCs/>
          <w:sz w:val="32"/>
          <w:szCs w:val="32"/>
        </w:rPr>
        <w:t>.《阜阳市国民经济和社会发展第十四个五年规划和二〇三五年远景目标纲要》；</w:t>
      </w:r>
    </w:p>
    <w:p w14:paraId="51E53988">
      <w:pPr>
        <w:pStyle w:val="23"/>
        <w:spacing w:after="0" w:line="600" w:lineRule="exact"/>
        <w:ind w:left="0" w:leftChars="0" w:firstLine="64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w:t>
      </w:r>
      <w:r>
        <w:rPr>
          <w:rFonts w:hint="eastAsia" w:ascii="仿宋_GB2312" w:hAnsi="仿宋_GB2312" w:eastAsia="仿宋_GB2312" w:cs="仿宋_GB2312"/>
          <w:bCs/>
          <w:sz w:val="32"/>
          <w:szCs w:val="32"/>
          <w:lang w:val="en-US" w:eastAsia="zh-CN"/>
        </w:rPr>
        <w:t>7</w:t>
      </w:r>
      <w:r>
        <w:rPr>
          <w:rFonts w:hint="eastAsia" w:ascii="仿宋_GB2312" w:hAnsi="仿宋_GB2312" w:eastAsia="仿宋_GB2312" w:cs="仿宋_GB2312"/>
          <w:bCs/>
          <w:sz w:val="32"/>
          <w:szCs w:val="32"/>
        </w:rPr>
        <w:t>.《阜阳市产业发展五年行动计划（2019—2023年）》；</w:t>
      </w:r>
    </w:p>
    <w:p w14:paraId="2BD5ED99">
      <w:pPr>
        <w:spacing w:line="600" w:lineRule="exact"/>
        <w:ind w:firstLine="640" w:firstLineChars="200"/>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w:t>
      </w:r>
      <w:r>
        <w:rPr>
          <w:rFonts w:hint="eastAsia" w:ascii="仿宋_GB2312" w:hAnsi="仿宋_GB2312" w:eastAsia="仿宋_GB2312" w:cs="仿宋_GB2312"/>
          <w:bCs/>
          <w:sz w:val="32"/>
          <w:szCs w:val="32"/>
          <w:lang w:val="en-US" w:eastAsia="zh-CN"/>
        </w:rPr>
        <w:t>8</w:t>
      </w:r>
      <w:r>
        <w:rPr>
          <w:rFonts w:hint="eastAsia" w:ascii="仿宋_GB2312" w:hAnsi="仿宋_GB2312" w:eastAsia="仿宋_GB2312" w:cs="仿宋_GB2312"/>
          <w:bCs/>
          <w:sz w:val="32"/>
          <w:szCs w:val="32"/>
        </w:rPr>
        <w:t>.《关于加快推进阜阳市5G网络基础设施建设实施方案的通知》；</w:t>
      </w:r>
    </w:p>
    <w:p w14:paraId="61B7B438">
      <w:pPr>
        <w:spacing w:line="60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w:t>
      </w:r>
      <w:r>
        <w:rPr>
          <w:rFonts w:hint="eastAsia" w:ascii="仿宋_GB2312" w:hAnsi="仿宋_GB2312" w:eastAsia="仿宋_GB2312" w:cs="仿宋_GB2312"/>
          <w:bCs/>
          <w:sz w:val="32"/>
          <w:szCs w:val="32"/>
          <w:lang w:val="en-US" w:eastAsia="zh-CN"/>
        </w:rPr>
        <w:t>9</w:t>
      </w:r>
      <w:r>
        <w:rPr>
          <w:rFonts w:hint="eastAsia" w:ascii="仿宋_GB2312" w:hAnsi="仿宋_GB2312" w:eastAsia="仿宋_GB2312" w:cs="仿宋_GB2312"/>
          <w:bCs/>
          <w:sz w:val="32"/>
          <w:szCs w:val="32"/>
        </w:rPr>
        <w:t>.《支持5G发展若干政策措施（试行）》；</w:t>
      </w:r>
    </w:p>
    <w:p w14:paraId="1F0801AE">
      <w:pPr>
        <w:pStyle w:val="23"/>
        <w:ind w:left="0" w:leftChars="0" w:firstLine="640"/>
        <w:rPr>
          <w:rFonts w:ascii="仿宋_GB2312" w:hAnsi="仿宋_GB2312" w:eastAsia="仿宋_GB2312" w:cs="仿宋_GB2312"/>
          <w:bCs/>
          <w:sz w:val="32"/>
          <w:szCs w:val="32"/>
        </w:rPr>
        <w:sectPr>
          <w:footerReference r:id="rId6"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仿宋_GB2312" w:hAnsi="仿宋_GB2312" w:eastAsia="仿宋_GB2312" w:cs="仿宋_GB2312"/>
          <w:bCs/>
          <w:sz w:val="32"/>
          <w:szCs w:val="32"/>
          <w:lang w:val="en-US" w:eastAsia="zh-CN"/>
        </w:rPr>
        <w:t>20</w:t>
      </w:r>
      <w:r>
        <w:rPr>
          <w:rFonts w:hint="eastAsia" w:ascii="仿宋_GB2312" w:hAnsi="仿宋_GB2312" w:eastAsia="仿宋_GB2312" w:cs="仿宋_GB2312"/>
          <w:bCs/>
          <w:sz w:val="32"/>
          <w:szCs w:val="32"/>
        </w:rPr>
        <w:t>.其他相关法律、法规、文件。</w:t>
      </w:r>
    </w:p>
    <w:p w14:paraId="34F39E26">
      <w:pPr>
        <w:pStyle w:val="13"/>
        <w:keepNext w:val="0"/>
        <w:keepLines w:val="0"/>
        <w:pageBreakBefore w:val="0"/>
        <w:widowControl w:val="0"/>
        <w:kinsoku/>
        <w:wordWrap/>
        <w:overflowPunct/>
        <w:topLinePunct w:val="0"/>
        <w:autoSpaceDE/>
        <w:autoSpaceDN/>
        <w:bidi w:val="0"/>
        <w:adjustRightInd/>
        <w:snapToGrid w:val="0"/>
        <w:textAlignment w:val="auto"/>
        <w:outlineLvl w:val="0"/>
        <w:rPr>
          <w:rFonts w:ascii="黑体" w:hAnsi="黑体" w:eastAsia="黑体" w:cs="黑体"/>
          <w:sz w:val="32"/>
          <w:szCs w:val="32"/>
        </w:rPr>
      </w:pPr>
      <w:bookmarkStart w:id="464" w:name="_Toc11231"/>
      <w:bookmarkStart w:id="465" w:name="_Toc28447"/>
      <w:bookmarkStart w:id="466" w:name="_Toc18910"/>
      <w:bookmarkStart w:id="467" w:name="_Toc31557"/>
      <w:bookmarkStart w:id="468" w:name="_Toc2017"/>
      <w:bookmarkStart w:id="469" w:name="_Toc8469"/>
      <w:bookmarkStart w:id="470" w:name="_Toc5220"/>
      <w:bookmarkStart w:id="471" w:name="_Toc15938"/>
      <w:bookmarkStart w:id="472" w:name="_Toc30904"/>
      <w:bookmarkStart w:id="473" w:name="_Toc27967"/>
      <w:r>
        <w:rPr>
          <w:rFonts w:hint="eastAsia" w:ascii="黑体" w:hAnsi="黑体" w:eastAsia="黑体" w:cs="黑体"/>
          <w:sz w:val="32"/>
          <w:szCs w:val="32"/>
        </w:rPr>
        <w:t>附件二：</w:t>
      </w:r>
      <w:r>
        <w:rPr>
          <w:rFonts w:hint="eastAsia" w:ascii="黑体" w:hAnsi="黑体" w:eastAsia="黑体" w:cs="黑体"/>
          <w:sz w:val="32"/>
          <w:szCs w:val="32"/>
          <w:lang w:eastAsia="zh-CN"/>
        </w:rPr>
        <w:t>阜阳市</w:t>
      </w:r>
      <w:r>
        <w:rPr>
          <w:rFonts w:hint="eastAsia" w:ascii="黑体" w:hAnsi="黑体" w:eastAsia="黑体" w:cs="黑体"/>
          <w:sz w:val="32"/>
          <w:szCs w:val="32"/>
        </w:rPr>
        <w:t>“十四五”</w:t>
      </w:r>
      <w:r>
        <w:rPr>
          <w:rFonts w:hint="eastAsia" w:ascii="黑体" w:hAnsi="黑体" w:eastAsia="黑体" w:cs="黑体"/>
          <w:sz w:val="32"/>
          <w:szCs w:val="32"/>
          <w:lang w:eastAsia="zh-CN"/>
        </w:rPr>
        <w:t>工业发展</w:t>
      </w:r>
      <w:r>
        <w:rPr>
          <w:rFonts w:hint="eastAsia" w:ascii="黑体" w:hAnsi="黑体" w:eastAsia="黑体" w:cs="黑体"/>
          <w:sz w:val="32"/>
          <w:szCs w:val="32"/>
        </w:rPr>
        <w:t>重点项目表</w:t>
      </w:r>
      <w:bookmarkEnd w:id="464"/>
      <w:bookmarkEnd w:id="465"/>
      <w:bookmarkEnd w:id="466"/>
      <w:bookmarkEnd w:id="467"/>
      <w:bookmarkEnd w:id="468"/>
      <w:bookmarkEnd w:id="469"/>
      <w:bookmarkEnd w:id="470"/>
      <w:bookmarkEnd w:id="471"/>
      <w:bookmarkEnd w:id="472"/>
      <w:bookmarkEnd w:id="473"/>
    </w:p>
    <w:p w14:paraId="6FCEDB1A">
      <w:pPr>
        <w:spacing w:after="0" w:line="600" w:lineRule="exact"/>
        <w:ind w:left="0" w:leftChars="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“十四五”期间，我市预计实施工业重点项目</w:t>
      </w:r>
      <w:r>
        <w:rPr>
          <w:rFonts w:hint="eastAsia" w:ascii="仿宋_GB2312" w:hAnsi="仿宋_GB2312" w:eastAsia="仿宋_GB2312" w:cs="仿宋_GB2312"/>
          <w:sz w:val="32"/>
          <w:szCs w:val="32"/>
          <w:lang w:val="en-US" w:eastAsia="zh-CN"/>
        </w:rPr>
        <w:t>541</w:t>
      </w:r>
      <w:r>
        <w:rPr>
          <w:rFonts w:hint="eastAsia" w:ascii="仿宋_GB2312" w:hAnsi="仿宋_GB2312" w:eastAsia="仿宋_GB2312" w:cs="仿宋_GB2312"/>
          <w:sz w:val="32"/>
          <w:szCs w:val="32"/>
        </w:rPr>
        <w:t>个，总投资超4000亿元，其中5亿-10亿元项目</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7个，10亿元以上项目</w:t>
      </w:r>
      <w:r>
        <w:rPr>
          <w:rFonts w:hint="eastAsia" w:ascii="仿宋_GB2312" w:hAnsi="仿宋_GB2312" w:eastAsia="仿宋_GB2312" w:cs="仿宋_GB2312"/>
          <w:sz w:val="32"/>
          <w:szCs w:val="32"/>
          <w:lang w:val="en-US" w:eastAsia="zh-CN"/>
        </w:rPr>
        <w:t>94</w:t>
      </w:r>
      <w:r>
        <w:rPr>
          <w:rFonts w:hint="eastAsia" w:ascii="仿宋_GB2312" w:hAnsi="仿宋_GB2312" w:eastAsia="仿宋_GB2312" w:cs="仿宋_GB2312"/>
          <w:sz w:val="32"/>
          <w:szCs w:val="32"/>
        </w:rPr>
        <w:t>个</w:t>
      </w:r>
      <w:r>
        <w:rPr>
          <w:rFonts w:hint="eastAsia" w:ascii="仿宋_GB2312" w:hAnsi="仿宋_GB2312" w:eastAsia="仿宋_GB2312" w:cs="仿宋_GB2312"/>
          <w:sz w:val="32"/>
          <w:szCs w:val="32"/>
          <w:lang w:eastAsia="zh-CN"/>
        </w:rPr>
        <w:t>，百亿元以上项目</w:t>
      </w:r>
      <w:r>
        <w:rPr>
          <w:rFonts w:hint="eastAsia" w:ascii="仿宋_GB2312" w:hAnsi="仿宋_GB2312" w:eastAsia="仿宋_GB2312" w:cs="仿宋_GB2312"/>
          <w:sz w:val="32"/>
          <w:szCs w:val="32"/>
          <w:lang w:val="en-US" w:eastAsia="zh-CN"/>
        </w:rPr>
        <w:t>2个</w:t>
      </w:r>
      <w:r>
        <w:rPr>
          <w:rFonts w:hint="eastAsia" w:ascii="仿宋_GB2312" w:hAnsi="仿宋_GB2312" w:eastAsia="仿宋_GB2312" w:cs="仿宋_GB2312"/>
          <w:sz w:val="32"/>
          <w:szCs w:val="32"/>
        </w:rPr>
        <w:t>。项目在各县区间分布情况如表</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所示，10亿元以上项目如表</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所示。</w:t>
      </w:r>
    </w:p>
    <w:p w14:paraId="79BE2484">
      <w:pPr>
        <w:pStyle w:val="12"/>
        <w:keepNext w:val="0"/>
        <w:keepLines w:val="0"/>
        <w:pageBreakBefore w:val="0"/>
        <w:widowControl w:val="0"/>
        <w:kinsoku/>
        <w:wordWrap/>
        <w:overflowPunct/>
        <w:topLinePunct w:val="0"/>
        <w:autoSpaceDE/>
        <w:autoSpaceDN/>
        <w:bidi w:val="0"/>
        <w:adjustRightInd/>
        <w:snapToGrid/>
        <w:spacing w:after="120" w:line="600" w:lineRule="exact"/>
        <w:ind w:left="0" w:leftChars="0"/>
        <w:jc w:val="center"/>
        <w:textAlignment w:val="auto"/>
        <w:rPr>
          <w:rFonts w:ascii="仿宋_GB2312" w:hAnsi="仿宋_GB2312" w:eastAsia="仿宋_GB2312" w:cs="仿宋_GB2312"/>
          <w:b/>
          <w:bCs/>
          <w:sz w:val="24"/>
        </w:rPr>
      </w:pPr>
      <w:r>
        <w:rPr>
          <w:rFonts w:hint="eastAsia" w:ascii="仿宋_GB2312" w:hAnsi="仿宋_GB2312" w:eastAsia="仿宋_GB2312" w:cs="仿宋_GB2312"/>
          <w:b/>
          <w:bCs/>
          <w:sz w:val="24"/>
          <w:highlight w:val="none"/>
        </w:rPr>
        <w:t>表1 “十四五”阜阳重点项目在各县区间分布情况</w:t>
      </w:r>
    </w:p>
    <w:tbl>
      <w:tblPr>
        <w:tblStyle w:val="24"/>
        <w:tblW w:w="129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98"/>
        <w:gridCol w:w="1270"/>
        <w:gridCol w:w="2005"/>
        <w:gridCol w:w="1379"/>
        <w:gridCol w:w="1675"/>
        <w:gridCol w:w="1350"/>
        <w:gridCol w:w="1223"/>
        <w:gridCol w:w="1214"/>
        <w:gridCol w:w="1164"/>
      </w:tblGrid>
      <w:tr w14:paraId="7B86D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9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7A958">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县区</w:t>
            </w:r>
          </w:p>
        </w:tc>
        <w:tc>
          <w:tcPr>
            <w:tcW w:w="6329"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466E8">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总数（个、亿元）</w:t>
            </w:r>
          </w:p>
        </w:tc>
        <w:tc>
          <w:tcPr>
            <w:tcW w:w="257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60B5B">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5亿-10亿</w:t>
            </w:r>
          </w:p>
        </w:tc>
        <w:tc>
          <w:tcPr>
            <w:tcW w:w="237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1C852">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10亿以上</w:t>
            </w:r>
          </w:p>
        </w:tc>
      </w:tr>
      <w:tr w14:paraId="1B023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F08BB">
            <w:pPr>
              <w:jc w:val="center"/>
              <w:rPr>
                <w:rFonts w:hint="eastAsia" w:ascii="仿宋_GB2312" w:hAnsi="仿宋_GB2312" w:eastAsia="仿宋_GB2312" w:cs="仿宋_GB2312"/>
                <w:b/>
                <w:bCs/>
                <w:i w:val="0"/>
                <w:iCs w:val="0"/>
                <w:color w:val="000000"/>
                <w:sz w:val="24"/>
                <w:szCs w:val="24"/>
                <w:u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357F8">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项目个数</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0E8B9">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占全市总项目数比重</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CA2BA">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总投资</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61F08">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占总投资额比重</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E9063">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项目个数</w:t>
            </w:r>
          </w:p>
        </w:tc>
        <w:tc>
          <w:tcPr>
            <w:tcW w:w="12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B5B82">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总投资</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D6FB5">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项目个数</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F4E46">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总投资</w:t>
            </w:r>
          </w:p>
        </w:tc>
      </w:tr>
      <w:tr w14:paraId="66667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B599C">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颍州区</w:t>
            </w:r>
          </w:p>
        </w:tc>
        <w:tc>
          <w:tcPr>
            <w:tcW w:w="1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426B4">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44511">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1.27%</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136BE">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25.14</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05FB9">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0.36%</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5C06C">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12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7F52B">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9.7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A3B4D">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B1F03">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w:t>
            </w:r>
          </w:p>
        </w:tc>
      </w:tr>
      <w:tr w14:paraId="66314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6A189">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颍东区</w:t>
            </w:r>
          </w:p>
        </w:tc>
        <w:tc>
          <w:tcPr>
            <w:tcW w:w="1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9258F">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86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30E82">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10.90%</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2B212">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677.89</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1EDE7">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9.83%</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9B58B">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10</w:t>
            </w:r>
          </w:p>
        </w:tc>
        <w:tc>
          <w:tcPr>
            <w:tcW w:w="12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A50E6">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65.97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B798D">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79E31">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508.69</w:t>
            </w:r>
          </w:p>
        </w:tc>
      </w:tr>
      <w:tr w14:paraId="70C37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EF606">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颍泉区</w:t>
            </w:r>
          </w:p>
        </w:tc>
        <w:tc>
          <w:tcPr>
            <w:tcW w:w="1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F81FD">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82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25BCA">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10.39%</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71410">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722.36</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9BCEB">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10.47%</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A80B7">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11</w:t>
            </w:r>
          </w:p>
        </w:tc>
        <w:tc>
          <w:tcPr>
            <w:tcW w:w="12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FC250">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8EBDA">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18</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353DB">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553.18</w:t>
            </w:r>
          </w:p>
        </w:tc>
      </w:tr>
      <w:tr w14:paraId="1952A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DD173">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临泉县</w:t>
            </w:r>
          </w:p>
        </w:tc>
        <w:tc>
          <w:tcPr>
            <w:tcW w:w="1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3D01E">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117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67F44">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14.83%</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3AC84">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616.36</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55E06">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8.93%</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116BA">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22</w:t>
            </w:r>
          </w:p>
        </w:tc>
        <w:tc>
          <w:tcPr>
            <w:tcW w:w="12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DD198">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134.51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CFC58">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18</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344A3">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364.93</w:t>
            </w:r>
          </w:p>
        </w:tc>
      </w:tr>
      <w:tr w14:paraId="554D4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B5F8E">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太和县</w:t>
            </w:r>
          </w:p>
        </w:tc>
        <w:tc>
          <w:tcPr>
            <w:tcW w:w="1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D46BD">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133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B6F88">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16.86%</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19B18">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741.35</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A72A4">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10.75%</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E424E">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15</w:t>
            </w:r>
          </w:p>
        </w:tc>
        <w:tc>
          <w:tcPr>
            <w:tcW w:w="12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D26F8">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88.27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71017">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20</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69067">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494.52</w:t>
            </w:r>
          </w:p>
        </w:tc>
      </w:tr>
      <w:tr w14:paraId="2D3C4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D5520">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阜南县</w:t>
            </w:r>
          </w:p>
        </w:tc>
        <w:tc>
          <w:tcPr>
            <w:tcW w:w="1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417A3">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76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D468E">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9.63%</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81DBD">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479.22</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19226">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6.95%</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C10B0">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11</w:t>
            </w:r>
          </w:p>
        </w:tc>
        <w:tc>
          <w:tcPr>
            <w:tcW w:w="12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01ED8">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68.36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3F00B">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13</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46E98">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330.8</w:t>
            </w:r>
          </w:p>
        </w:tc>
      </w:tr>
      <w:tr w14:paraId="4EAEF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007D9">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颍上县</w:t>
            </w:r>
          </w:p>
        </w:tc>
        <w:tc>
          <w:tcPr>
            <w:tcW w:w="1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15885">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90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336A5">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11.41%</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94C64">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939.06</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CC6E7">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13.61%</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BCE0F">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15</w:t>
            </w:r>
          </w:p>
        </w:tc>
        <w:tc>
          <w:tcPr>
            <w:tcW w:w="12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77303">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92.26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D14DB">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23</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C2CD0">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759.92</w:t>
            </w:r>
          </w:p>
        </w:tc>
      </w:tr>
      <w:tr w14:paraId="2DC97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9C2A9">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界首市</w:t>
            </w:r>
          </w:p>
        </w:tc>
        <w:tc>
          <w:tcPr>
            <w:tcW w:w="1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181CA">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96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ABE20">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12.17%</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E3344">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1715.63</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4433B">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24.87%</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B4927">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20</w:t>
            </w:r>
          </w:p>
        </w:tc>
        <w:tc>
          <w:tcPr>
            <w:tcW w:w="12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41FA1">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123.14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C7B33">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C8F3E">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1511.7</w:t>
            </w:r>
          </w:p>
        </w:tc>
      </w:tr>
      <w:tr w14:paraId="225EE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642A5">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阜阳经开区</w:t>
            </w:r>
          </w:p>
        </w:tc>
        <w:tc>
          <w:tcPr>
            <w:tcW w:w="1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D8D6E">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6EBB5">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6.59%</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99C96">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523.44</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7F956">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7.59%</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8F862">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12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EB6E7">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15.6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BE729">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70AB4">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463.1</w:t>
            </w:r>
          </w:p>
        </w:tc>
      </w:tr>
      <w:tr w14:paraId="1C007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8CC6F">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阜合产业园</w:t>
            </w:r>
          </w:p>
        </w:tc>
        <w:tc>
          <w:tcPr>
            <w:tcW w:w="1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7B253">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1CDDF">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5.96%</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303E1">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458.3</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EA702">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6.64%</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4C395">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7</w:t>
            </w:r>
          </w:p>
        </w:tc>
        <w:tc>
          <w:tcPr>
            <w:tcW w:w="12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6D277">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49ADB">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E3654">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358.5</w:t>
            </w:r>
          </w:p>
        </w:tc>
      </w:tr>
      <w:tr w14:paraId="397A8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591EF">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合计</w:t>
            </w:r>
          </w:p>
        </w:tc>
        <w:tc>
          <w:tcPr>
            <w:tcW w:w="1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7F4AE">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789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86B10">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CEAC4">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6898.75</w:t>
            </w:r>
          </w:p>
        </w:tc>
        <w:tc>
          <w:tcPr>
            <w:tcW w:w="1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E6D2A">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5F46F">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115</w:t>
            </w:r>
          </w:p>
        </w:tc>
        <w:tc>
          <w:tcPr>
            <w:tcW w:w="12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59E10">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707.81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B3D16">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167</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5B469">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5345.34</w:t>
            </w:r>
          </w:p>
        </w:tc>
      </w:tr>
    </w:tbl>
    <w:p w14:paraId="6E13847B">
      <w:pPr>
        <w:pStyle w:val="13"/>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pPr>
    </w:p>
    <w:p w14:paraId="105769A2">
      <w:pPr>
        <w:pStyle w:val="12"/>
        <w:spacing w:after="0" w:line="600" w:lineRule="exact"/>
        <w:ind w:left="0" w:leftChars="0"/>
        <w:jc w:val="center"/>
        <w:rPr>
          <w:rFonts w:ascii="仿宋_GB2312" w:hAnsi="仿宋_GB2312" w:eastAsia="仿宋_GB2312" w:cs="仿宋_GB2312"/>
          <w:b/>
          <w:bCs/>
          <w:sz w:val="24"/>
        </w:rPr>
      </w:pPr>
      <w:r>
        <w:rPr>
          <w:rFonts w:hint="eastAsia" w:ascii="仿宋_GB2312" w:hAnsi="仿宋_GB2312" w:eastAsia="仿宋_GB2312" w:cs="仿宋_GB2312"/>
          <w:b/>
          <w:bCs/>
          <w:sz w:val="24"/>
        </w:rPr>
        <w:t>表2 “十四五”阜阳10亿元以上项目表</w:t>
      </w:r>
    </w:p>
    <w:tbl>
      <w:tblPr>
        <w:tblStyle w:val="24"/>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470"/>
        <w:gridCol w:w="2352"/>
        <w:gridCol w:w="570"/>
        <w:gridCol w:w="670"/>
        <w:gridCol w:w="5816"/>
        <w:gridCol w:w="876"/>
        <w:gridCol w:w="1788"/>
        <w:gridCol w:w="1069"/>
        <w:gridCol w:w="470"/>
      </w:tblGrid>
      <w:tr w14:paraId="52957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28" w:hRule="atLeast"/>
        </w:trPr>
        <w:tc>
          <w:tcPr>
            <w:tcW w:w="0" w:type="auto"/>
            <w:shd w:val="clear" w:color="auto" w:fill="FFFFFF"/>
            <w:vAlign w:val="center"/>
          </w:tcPr>
          <w:p w14:paraId="49565EF6">
            <w:pPr>
              <w:keepNext w:val="0"/>
              <w:keepLines w:val="0"/>
              <w:widowControl/>
              <w:suppressLineNumbers w:val="0"/>
              <w:jc w:val="center"/>
              <w:textAlignment w:val="center"/>
              <w:rPr>
                <w:rFonts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序号</w:t>
            </w:r>
          </w:p>
        </w:tc>
        <w:tc>
          <w:tcPr>
            <w:tcW w:w="0" w:type="auto"/>
            <w:shd w:val="clear" w:color="auto" w:fill="FFFFFF"/>
            <w:vAlign w:val="center"/>
          </w:tcPr>
          <w:p w14:paraId="2D5B06C5">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项目名称</w:t>
            </w:r>
          </w:p>
        </w:tc>
        <w:tc>
          <w:tcPr>
            <w:tcW w:w="0" w:type="auto"/>
            <w:shd w:val="clear" w:color="auto" w:fill="FFFFFF"/>
            <w:vAlign w:val="center"/>
          </w:tcPr>
          <w:p w14:paraId="2DA728DB">
            <w:pPr>
              <w:keepNext w:val="0"/>
              <w:keepLines w:val="0"/>
              <w:widowControl/>
              <w:suppressLineNumbers w:val="0"/>
              <w:jc w:val="center"/>
              <w:textAlignment w:val="center"/>
              <w:rPr>
                <w:rFonts w:hint="eastAsia" w:ascii="仿宋_GB2312" w:hAnsi="宋体" w:eastAsia="仿宋_GB2312" w:cs="仿宋_GB2312"/>
                <w:b/>
                <w:bCs/>
                <w:i w:val="0"/>
                <w:iCs w:val="0"/>
                <w:color w:val="000000"/>
                <w:kern w:val="0"/>
                <w:sz w:val="22"/>
                <w:szCs w:val="22"/>
                <w:u w:val="none"/>
                <w:lang w:val="en-US" w:eastAsia="zh-CN" w:bidi="ar"/>
              </w:rPr>
            </w:pPr>
            <w:r>
              <w:rPr>
                <w:rFonts w:hint="eastAsia" w:ascii="仿宋_GB2312" w:hAnsi="宋体" w:eastAsia="仿宋_GB2312" w:cs="仿宋_GB2312"/>
                <w:b/>
                <w:bCs/>
                <w:i w:val="0"/>
                <w:iCs w:val="0"/>
                <w:color w:val="000000"/>
                <w:kern w:val="0"/>
                <w:sz w:val="22"/>
                <w:szCs w:val="22"/>
                <w:u w:val="none"/>
                <w:lang w:val="en-US" w:eastAsia="zh-CN" w:bidi="ar"/>
              </w:rPr>
              <w:t>建设</w:t>
            </w:r>
          </w:p>
          <w:p w14:paraId="6E58EBC3">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地点</w:t>
            </w:r>
          </w:p>
        </w:tc>
        <w:tc>
          <w:tcPr>
            <w:tcW w:w="0" w:type="auto"/>
            <w:shd w:val="clear" w:color="auto" w:fill="FFFFFF"/>
            <w:vAlign w:val="center"/>
          </w:tcPr>
          <w:p w14:paraId="53C5E61F">
            <w:pPr>
              <w:keepNext w:val="0"/>
              <w:keepLines w:val="0"/>
              <w:widowControl/>
              <w:suppressLineNumbers w:val="0"/>
              <w:jc w:val="center"/>
              <w:textAlignment w:val="center"/>
              <w:rPr>
                <w:rFonts w:hint="eastAsia" w:ascii="仿宋_GB2312" w:hAnsi="宋体" w:eastAsia="仿宋_GB2312" w:cs="仿宋_GB2312"/>
                <w:b/>
                <w:bCs/>
                <w:i w:val="0"/>
                <w:iCs w:val="0"/>
                <w:color w:val="000000"/>
                <w:kern w:val="0"/>
                <w:sz w:val="22"/>
                <w:szCs w:val="22"/>
                <w:u w:val="none"/>
                <w:lang w:val="en-US" w:eastAsia="zh-CN" w:bidi="ar"/>
              </w:rPr>
            </w:pPr>
            <w:r>
              <w:rPr>
                <w:rFonts w:hint="eastAsia" w:ascii="仿宋_GB2312" w:hAnsi="宋体" w:eastAsia="仿宋_GB2312" w:cs="仿宋_GB2312"/>
                <w:b/>
                <w:bCs/>
                <w:i w:val="0"/>
                <w:iCs w:val="0"/>
                <w:color w:val="000000"/>
                <w:kern w:val="0"/>
                <w:sz w:val="22"/>
                <w:szCs w:val="22"/>
                <w:u w:val="none"/>
                <w:lang w:val="en-US" w:eastAsia="zh-CN" w:bidi="ar"/>
              </w:rPr>
              <w:t>行业</w:t>
            </w:r>
          </w:p>
          <w:p w14:paraId="6097BE67">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类别</w:t>
            </w:r>
          </w:p>
        </w:tc>
        <w:tc>
          <w:tcPr>
            <w:tcW w:w="0" w:type="auto"/>
            <w:shd w:val="clear" w:color="auto" w:fill="FFFFFF"/>
            <w:vAlign w:val="center"/>
          </w:tcPr>
          <w:p w14:paraId="5DFD66CC">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建设规模及内容</w:t>
            </w:r>
          </w:p>
        </w:tc>
        <w:tc>
          <w:tcPr>
            <w:tcW w:w="876" w:type="dxa"/>
            <w:shd w:val="clear" w:color="auto" w:fill="FFFFFF"/>
            <w:vAlign w:val="center"/>
          </w:tcPr>
          <w:p w14:paraId="1CD66D1D">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总投资</w:t>
            </w:r>
          </w:p>
        </w:tc>
        <w:tc>
          <w:tcPr>
            <w:tcW w:w="1787" w:type="dxa"/>
            <w:shd w:val="clear" w:color="auto" w:fill="FFFFFF"/>
            <w:vAlign w:val="center"/>
          </w:tcPr>
          <w:p w14:paraId="41CF65BD">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建设单位</w:t>
            </w:r>
          </w:p>
        </w:tc>
        <w:tc>
          <w:tcPr>
            <w:tcW w:w="0" w:type="auto"/>
            <w:shd w:val="clear" w:color="auto" w:fill="FFFFFF"/>
            <w:vAlign w:val="center"/>
          </w:tcPr>
          <w:p w14:paraId="2B359B75">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牵头协调推进责任单位</w:t>
            </w:r>
          </w:p>
        </w:tc>
        <w:tc>
          <w:tcPr>
            <w:tcW w:w="0" w:type="auto"/>
            <w:shd w:val="clear" w:color="auto" w:fill="FFFFFF"/>
            <w:vAlign w:val="center"/>
          </w:tcPr>
          <w:p w14:paraId="50A6DD88">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阶段</w:t>
            </w:r>
          </w:p>
        </w:tc>
      </w:tr>
      <w:tr w14:paraId="7B7E6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0" w:type="auto"/>
            <w:gridSpan w:val="9"/>
            <w:shd w:val="clear" w:color="auto" w:fill="FFFFFF"/>
            <w:vAlign w:val="center"/>
          </w:tcPr>
          <w:p w14:paraId="27EF95E3">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总计167个，总投资5345.34亿元</w:t>
            </w:r>
          </w:p>
        </w:tc>
      </w:tr>
      <w:tr w14:paraId="3793D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0" w:type="auto"/>
            <w:gridSpan w:val="9"/>
            <w:shd w:val="clear" w:color="auto" w:fill="FFFFFF"/>
            <w:vAlign w:val="center"/>
          </w:tcPr>
          <w:p w14:paraId="39C4181B">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颍东区16个，总投资508.69亿元</w:t>
            </w:r>
          </w:p>
        </w:tc>
      </w:tr>
      <w:tr w14:paraId="7D5CD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35" w:hRule="atLeast"/>
        </w:trPr>
        <w:tc>
          <w:tcPr>
            <w:tcW w:w="0" w:type="auto"/>
            <w:shd w:val="clear" w:color="auto" w:fill="auto"/>
            <w:vAlign w:val="center"/>
          </w:tcPr>
          <w:p w14:paraId="056B9EC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w:t>
            </w:r>
          </w:p>
        </w:tc>
        <w:tc>
          <w:tcPr>
            <w:tcW w:w="0" w:type="auto"/>
            <w:shd w:val="clear" w:color="auto" w:fill="auto"/>
            <w:vAlign w:val="center"/>
          </w:tcPr>
          <w:p w14:paraId="1F9AC82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年产30万吨全生物可降解塑料（PBAT）项目</w:t>
            </w:r>
          </w:p>
        </w:tc>
        <w:tc>
          <w:tcPr>
            <w:tcW w:w="0" w:type="auto"/>
            <w:shd w:val="clear" w:color="auto" w:fill="auto"/>
            <w:vAlign w:val="center"/>
          </w:tcPr>
          <w:p w14:paraId="297ED5A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颍东区</w:t>
            </w:r>
          </w:p>
        </w:tc>
        <w:tc>
          <w:tcPr>
            <w:tcW w:w="0" w:type="auto"/>
            <w:shd w:val="clear" w:color="auto" w:fill="auto"/>
            <w:vAlign w:val="center"/>
          </w:tcPr>
          <w:p w14:paraId="361EEF0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043A09D6">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建设生产装置及配套公用工程与辅助设施，项目分两期实施，一期建设10万吨/年PBAT生产装置及配套设施；二期建设20万吨/年PBAT生产装置及配套设施</w:t>
            </w:r>
          </w:p>
        </w:tc>
        <w:tc>
          <w:tcPr>
            <w:tcW w:w="876" w:type="dxa"/>
            <w:shd w:val="clear" w:color="auto" w:fill="auto"/>
            <w:vAlign w:val="center"/>
          </w:tcPr>
          <w:p w14:paraId="12954CD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12.91</w:t>
            </w:r>
          </w:p>
        </w:tc>
        <w:tc>
          <w:tcPr>
            <w:tcW w:w="1787" w:type="dxa"/>
            <w:shd w:val="clear" w:color="auto" w:fill="auto"/>
            <w:vAlign w:val="center"/>
          </w:tcPr>
          <w:p w14:paraId="23B14F2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安徽昊源化工集团有限公司</w:t>
            </w:r>
          </w:p>
        </w:tc>
        <w:tc>
          <w:tcPr>
            <w:tcW w:w="0" w:type="auto"/>
            <w:shd w:val="clear" w:color="auto" w:fill="auto"/>
            <w:vAlign w:val="center"/>
          </w:tcPr>
          <w:p w14:paraId="06C4B57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颍东经济开发区管委会</w:t>
            </w:r>
          </w:p>
        </w:tc>
        <w:tc>
          <w:tcPr>
            <w:tcW w:w="0" w:type="auto"/>
            <w:shd w:val="clear" w:color="auto" w:fill="auto"/>
            <w:vAlign w:val="center"/>
          </w:tcPr>
          <w:p w14:paraId="51EE7FE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679C6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75" w:hRule="atLeast"/>
        </w:trPr>
        <w:tc>
          <w:tcPr>
            <w:tcW w:w="0" w:type="auto"/>
            <w:shd w:val="clear" w:color="auto" w:fill="auto"/>
            <w:vAlign w:val="center"/>
          </w:tcPr>
          <w:p w14:paraId="7A28DF4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w:t>
            </w:r>
          </w:p>
        </w:tc>
        <w:tc>
          <w:tcPr>
            <w:tcW w:w="0" w:type="auto"/>
            <w:shd w:val="clear" w:color="auto" w:fill="auto"/>
            <w:vAlign w:val="center"/>
          </w:tcPr>
          <w:p w14:paraId="5FB83FF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年产30万吨合成氨、40万吨尿素联产20万吨己内酰胺搬迁改造项目</w:t>
            </w:r>
          </w:p>
        </w:tc>
        <w:tc>
          <w:tcPr>
            <w:tcW w:w="0" w:type="auto"/>
            <w:shd w:val="clear" w:color="auto" w:fill="auto"/>
            <w:vAlign w:val="center"/>
          </w:tcPr>
          <w:p w14:paraId="7B9DD0A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颍东区</w:t>
            </w:r>
          </w:p>
        </w:tc>
        <w:tc>
          <w:tcPr>
            <w:tcW w:w="0" w:type="auto"/>
            <w:shd w:val="clear" w:color="auto" w:fill="auto"/>
            <w:vAlign w:val="center"/>
          </w:tcPr>
          <w:p w14:paraId="02F717C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1EF00B3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采用HT-L粉煤加压气化技术，建设气化装置、净化装置（包括变换、甲醇洗、硫回收）、氨冰机、PSA提氢装置、空分、氨合成、尿素、已内酰胺生产装置及公用工程与辅助设施，形成年产30万吨合成氨、40万吨尿素联产20万吨己内酰胺的能力</w:t>
            </w:r>
          </w:p>
        </w:tc>
        <w:tc>
          <w:tcPr>
            <w:tcW w:w="876" w:type="dxa"/>
            <w:shd w:val="clear" w:color="auto" w:fill="auto"/>
            <w:vAlign w:val="center"/>
          </w:tcPr>
          <w:p w14:paraId="3BF9638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51.57</w:t>
            </w:r>
          </w:p>
        </w:tc>
        <w:tc>
          <w:tcPr>
            <w:tcW w:w="1787" w:type="dxa"/>
            <w:shd w:val="clear" w:color="auto" w:fill="auto"/>
            <w:vAlign w:val="center"/>
          </w:tcPr>
          <w:p w14:paraId="3E161B3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安徽昊源化工集团有限公司</w:t>
            </w:r>
          </w:p>
        </w:tc>
        <w:tc>
          <w:tcPr>
            <w:tcW w:w="0" w:type="auto"/>
            <w:shd w:val="clear" w:color="auto" w:fill="auto"/>
            <w:vAlign w:val="center"/>
          </w:tcPr>
          <w:p w14:paraId="4E76B70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颍东经济开发区管委会</w:t>
            </w:r>
          </w:p>
        </w:tc>
        <w:tc>
          <w:tcPr>
            <w:tcW w:w="0" w:type="auto"/>
            <w:shd w:val="clear" w:color="auto" w:fill="auto"/>
            <w:vAlign w:val="center"/>
          </w:tcPr>
          <w:p w14:paraId="42EE995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2069F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0DD1E30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w:t>
            </w:r>
          </w:p>
        </w:tc>
        <w:tc>
          <w:tcPr>
            <w:tcW w:w="0" w:type="auto"/>
            <w:shd w:val="clear" w:color="auto" w:fill="auto"/>
            <w:vAlign w:val="center"/>
          </w:tcPr>
          <w:p w14:paraId="5FDC735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高分子材料生产项目</w:t>
            </w:r>
          </w:p>
        </w:tc>
        <w:tc>
          <w:tcPr>
            <w:tcW w:w="0" w:type="auto"/>
            <w:shd w:val="clear" w:color="auto" w:fill="auto"/>
            <w:vAlign w:val="center"/>
          </w:tcPr>
          <w:p w14:paraId="79448DE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颍东区</w:t>
            </w:r>
          </w:p>
        </w:tc>
        <w:tc>
          <w:tcPr>
            <w:tcW w:w="0" w:type="auto"/>
            <w:shd w:val="clear" w:color="auto" w:fill="auto"/>
            <w:vAlign w:val="center"/>
          </w:tcPr>
          <w:p w14:paraId="148258E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2C4A26F7">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项目占地530亩，总建筑面积约10万平方米，建设生产车间，配套公用工程，建设48万吨酚酮（30万吨苯酚，18万吨丙酮）装置一套、24万吨甲醛及其衍生物生产装置4套、10万吨环氧树脂生产线15条</w:t>
            </w:r>
          </w:p>
        </w:tc>
        <w:tc>
          <w:tcPr>
            <w:tcW w:w="876" w:type="dxa"/>
            <w:shd w:val="clear" w:color="auto" w:fill="auto"/>
            <w:vAlign w:val="center"/>
          </w:tcPr>
          <w:p w14:paraId="169A64E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26</w:t>
            </w:r>
          </w:p>
        </w:tc>
        <w:tc>
          <w:tcPr>
            <w:tcW w:w="1787" w:type="dxa"/>
            <w:shd w:val="clear" w:color="auto" w:fill="auto"/>
            <w:vAlign w:val="center"/>
          </w:tcPr>
          <w:p w14:paraId="76D0CCB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杭摩科技新材料（阜阳）有限公司</w:t>
            </w:r>
          </w:p>
        </w:tc>
        <w:tc>
          <w:tcPr>
            <w:tcW w:w="0" w:type="auto"/>
            <w:shd w:val="clear" w:color="auto" w:fill="auto"/>
            <w:vAlign w:val="center"/>
          </w:tcPr>
          <w:p w14:paraId="3F4E495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颍东经济开发区管委会</w:t>
            </w:r>
          </w:p>
        </w:tc>
        <w:tc>
          <w:tcPr>
            <w:tcW w:w="0" w:type="auto"/>
            <w:shd w:val="clear" w:color="auto" w:fill="auto"/>
            <w:vAlign w:val="center"/>
          </w:tcPr>
          <w:p w14:paraId="31888E4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2DB29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0" w:hRule="atLeast"/>
        </w:trPr>
        <w:tc>
          <w:tcPr>
            <w:tcW w:w="0" w:type="auto"/>
            <w:shd w:val="clear" w:color="auto" w:fill="auto"/>
            <w:vAlign w:val="center"/>
          </w:tcPr>
          <w:p w14:paraId="3BB043D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4</w:t>
            </w:r>
          </w:p>
        </w:tc>
        <w:tc>
          <w:tcPr>
            <w:tcW w:w="0" w:type="auto"/>
            <w:shd w:val="clear" w:color="auto" w:fill="auto"/>
            <w:vAlign w:val="center"/>
          </w:tcPr>
          <w:p w14:paraId="3BA8772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多元全生物可降解塑料及差异化尼龙新材料项目</w:t>
            </w:r>
          </w:p>
        </w:tc>
        <w:tc>
          <w:tcPr>
            <w:tcW w:w="0" w:type="auto"/>
            <w:shd w:val="clear" w:color="auto" w:fill="auto"/>
            <w:vAlign w:val="center"/>
          </w:tcPr>
          <w:p w14:paraId="202775B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颍东区</w:t>
            </w:r>
          </w:p>
        </w:tc>
        <w:tc>
          <w:tcPr>
            <w:tcW w:w="0" w:type="auto"/>
            <w:shd w:val="clear" w:color="auto" w:fill="auto"/>
            <w:vAlign w:val="center"/>
          </w:tcPr>
          <w:p w14:paraId="1C4021F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61E18D4B">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建设年产20万吨正丁烷-顺酐法BDO、年产20万吨聚乙醇酸（PGA）、年产40万吨尼龙6和年产20万吨尼龙纤维生产装置与公辅配套设施，生产20万吨正丁烷-顺酐法BDO、20万吨/年聚乙醇酸（PGA）、40万吨/年尼龙6切片和20万吨/年尼龙纤维产品</w:t>
            </w:r>
          </w:p>
        </w:tc>
        <w:tc>
          <w:tcPr>
            <w:tcW w:w="876" w:type="dxa"/>
            <w:shd w:val="clear" w:color="auto" w:fill="auto"/>
            <w:vAlign w:val="center"/>
          </w:tcPr>
          <w:p w14:paraId="644BD6E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106.8</w:t>
            </w:r>
          </w:p>
        </w:tc>
        <w:tc>
          <w:tcPr>
            <w:tcW w:w="1787" w:type="dxa"/>
            <w:shd w:val="clear" w:color="auto" w:fill="auto"/>
            <w:vAlign w:val="center"/>
          </w:tcPr>
          <w:p w14:paraId="1547FD6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安徽昊源化工集团有限公司</w:t>
            </w:r>
          </w:p>
        </w:tc>
        <w:tc>
          <w:tcPr>
            <w:tcW w:w="0" w:type="auto"/>
            <w:shd w:val="clear" w:color="auto" w:fill="auto"/>
            <w:vAlign w:val="center"/>
          </w:tcPr>
          <w:p w14:paraId="3AC47AC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颍东化工园区</w:t>
            </w:r>
          </w:p>
        </w:tc>
        <w:tc>
          <w:tcPr>
            <w:tcW w:w="0" w:type="auto"/>
            <w:shd w:val="clear" w:color="auto" w:fill="auto"/>
            <w:vAlign w:val="center"/>
          </w:tcPr>
          <w:p w14:paraId="04C43E2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78501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0" w:type="auto"/>
            <w:shd w:val="clear" w:color="auto" w:fill="auto"/>
            <w:vAlign w:val="center"/>
          </w:tcPr>
          <w:p w14:paraId="50CDB61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w:t>
            </w:r>
          </w:p>
        </w:tc>
        <w:tc>
          <w:tcPr>
            <w:tcW w:w="0" w:type="auto"/>
            <w:shd w:val="clear" w:color="auto" w:fill="auto"/>
            <w:vAlign w:val="center"/>
          </w:tcPr>
          <w:p w14:paraId="1491740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年产100万吨家禽肉类加工及生鲜熟食一体化冷链物流建设项目</w:t>
            </w:r>
          </w:p>
        </w:tc>
        <w:tc>
          <w:tcPr>
            <w:tcW w:w="0" w:type="auto"/>
            <w:shd w:val="clear" w:color="auto" w:fill="auto"/>
            <w:vAlign w:val="center"/>
          </w:tcPr>
          <w:p w14:paraId="1FA6338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颍东区</w:t>
            </w:r>
          </w:p>
        </w:tc>
        <w:tc>
          <w:tcPr>
            <w:tcW w:w="0" w:type="auto"/>
            <w:shd w:val="clear" w:color="auto" w:fill="auto"/>
            <w:vAlign w:val="center"/>
          </w:tcPr>
          <w:p w14:paraId="758CE38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5327B636">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占地300亩，主要建设家禽肉类屠宰加工区、熟食品加工区、冷冻仓储区、办公区、产品研发中心、检验检测中心、农产品电商及营销中心中心、冷链物流配送中心、生活区等</w:t>
            </w:r>
          </w:p>
        </w:tc>
        <w:tc>
          <w:tcPr>
            <w:tcW w:w="876" w:type="dxa"/>
            <w:shd w:val="clear" w:color="auto" w:fill="auto"/>
            <w:vAlign w:val="center"/>
          </w:tcPr>
          <w:p w14:paraId="4016B0B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2E0CCC3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安徽金牧饲料有限公司</w:t>
            </w:r>
          </w:p>
        </w:tc>
        <w:tc>
          <w:tcPr>
            <w:tcW w:w="0" w:type="auto"/>
            <w:shd w:val="clear" w:color="auto" w:fill="auto"/>
            <w:vAlign w:val="center"/>
          </w:tcPr>
          <w:p w14:paraId="62E9E37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颍东区乡村振兴局</w:t>
            </w:r>
          </w:p>
        </w:tc>
        <w:tc>
          <w:tcPr>
            <w:tcW w:w="0" w:type="auto"/>
            <w:shd w:val="clear" w:color="auto" w:fill="auto"/>
            <w:vAlign w:val="center"/>
          </w:tcPr>
          <w:p w14:paraId="65D05D0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212ED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0" w:type="auto"/>
            <w:shd w:val="clear" w:color="auto" w:fill="auto"/>
            <w:vAlign w:val="center"/>
          </w:tcPr>
          <w:p w14:paraId="5C02C82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6</w:t>
            </w:r>
          </w:p>
        </w:tc>
        <w:tc>
          <w:tcPr>
            <w:tcW w:w="0" w:type="auto"/>
            <w:shd w:val="clear" w:color="auto" w:fill="auto"/>
            <w:vAlign w:val="center"/>
          </w:tcPr>
          <w:p w14:paraId="4D4B2C2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年产20万吨EVA项目</w:t>
            </w:r>
          </w:p>
        </w:tc>
        <w:tc>
          <w:tcPr>
            <w:tcW w:w="0" w:type="auto"/>
            <w:shd w:val="clear" w:color="auto" w:fill="auto"/>
            <w:vAlign w:val="center"/>
          </w:tcPr>
          <w:p w14:paraId="1B31706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颍东区</w:t>
            </w:r>
          </w:p>
        </w:tc>
        <w:tc>
          <w:tcPr>
            <w:tcW w:w="0" w:type="auto"/>
            <w:shd w:val="clear" w:color="auto" w:fill="auto"/>
            <w:vAlign w:val="center"/>
          </w:tcPr>
          <w:p w14:paraId="2BF7EC4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57A64191">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建设生产装置，配套建设罐区、充装等配设施与公用工程，形成年产20万吨EVA的能力</w:t>
            </w:r>
          </w:p>
        </w:tc>
        <w:tc>
          <w:tcPr>
            <w:tcW w:w="876" w:type="dxa"/>
            <w:shd w:val="clear" w:color="auto" w:fill="auto"/>
            <w:vAlign w:val="center"/>
          </w:tcPr>
          <w:p w14:paraId="2B2F607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273B5AA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安徽昊源化工集团有限公司</w:t>
            </w:r>
          </w:p>
        </w:tc>
        <w:tc>
          <w:tcPr>
            <w:tcW w:w="0" w:type="auto"/>
            <w:shd w:val="clear" w:color="auto" w:fill="auto"/>
            <w:vAlign w:val="center"/>
          </w:tcPr>
          <w:p w14:paraId="5BDCA5B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颍东化工园区</w:t>
            </w:r>
          </w:p>
        </w:tc>
        <w:tc>
          <w:tcPr>
            <w:tcW w:w="0" w:type="auto"/>
            <w:shd w:val="clear" w:color="auto" w:fill="auto"/>
            <w:vAlign w:val="center"/>
          </w:tcPr>
          <w:p w14:paraId="627D16C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6CA98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0" w:type="auto"/>
            <w:shd w:val="clear" w:color="auto" w:fill="auto"/>
            <w:vAlign w:val="center"/>
          </w:tcPr>
          <w:p w14:paraId="21589C9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7</w:t>
            </w:r>
          </w:p>
        </w:tc>
        <w:tc>
          <w:tcPr>
            <w:tcW w:w="0" w:type="auto"/>
            <w:shd w:val="clear" w:color="auto" w:fill="auto"/>
            <w:vAlign w:val="center"/>
          </w:tcPr>
          <w:p w14:paraId="3716AD8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年产60万吨醋酸项目</w:t>
            </w:r>
          </w:p>
        </w:tc>
        <w:tc>
          <w:tcPr>
            <w:tcW w:w="0" w:type="auto"/>
            <w:shd w:val="clear" w:color="auto" w:fill="auto"/>
            <w:vAlign w:val="center"/>
          </w:tcPr>
          <w:p w14:paraId="3ADB2E1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颍东区</w:t>
            </w:r>
          </w:p>
        </w:tc>
        <w:tc>
          <w:tcPr>
            <w:tcW w:w="0" w:type="auto"/>
            <w:shd w:val="clear" w:color="auto" w:fill="auto"/>
            <w:vAlign w:val="center"/>
          </w:tcPr>
          <w:p w14:paraId="3EC12AA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01FE0772">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占地约300亩，建设年产60万吨醋酸生产装置及配套辅助设施</w:t>
            </w:r>
          </w:p>
        </w:tc>
        <w:tc>
          <w:tcPr>
            <w:tcW w:w="876" w:type="dxa"/>
            <w:shd w:val="clear" w:color="auto" w:fill="auto"/>
            <w:vAlign w:val="center"/>
          </w:tcPr>
          <w:p w14:paraId="5B4B229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30</w:t>
            </w:r>
          </w:p>
        </w:tc>
        <w:tc>
          <w:tcPr>
            <w:tcW w:w="1787" w:type="dxa"/>
            <w:shd w:val="clear" w:color="auto" w:fill="auto"/>
            <w:vAlign w:val="center"/>
          </w:tcPr>
          <w:p w14:paraId="3DD636F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泰兴市金江化学有限公司</w:t>
            </w:r>
          </w:p>
        </w:tc>
        <w:tc>
          <w:tcPr>
            <w:tcW w:w="0" w:type="auto"/>
            <w:shd w:val="clear" w:color="auto" w:fill="auto"/>
            <w:vAlign w:val="center"/>
          </w:tcPr>
          <w:p w14:paraId="166F8F6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颍东化工园区</w:t>
            </w:r>
          </w:p>
        </w:tc>
        <w:tc>
          <w:tcPr>
            <w:tcW w:w="0" w:type="auto"/>
            <w:shd w:val="clear" w:color="auto" w:fill="auto"/>
            <w:vAlign w:val="center"/>
          </w:tcPr>
          <w:p w14:paraId="46C5DE1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6563C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95" w:hRule="atLeast"/>
        </w:trPr>
        <w:tc>
          <w:tcPr>
            <w:tcW w:w="0" w:type="auto"/>
            <w:shd w:val="clear" w:color="auto" w:fill="auto"/>
            <w:vAlign w:val="center"/>
          </w:tcPr>
          <w:p w14:paraId="4CA3C10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8</w:t>
            </w:r>
          </w:p>
        </w:tc>
        <w:tc>
          <w:tcPr>
            <w:tcW w:w="0" w:type="auto"/>
            <w:shd w:val="clear" w:color="auto" w:fill="auto"/>
            <w:vAlign w:val="center"/>
          </w:tcPr>
          <w:p w14:paraId="1E64E2B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新材料低碳园区项目</w:t>
            </w:r>
          </w:p>
        </w:tc>
        <w:tc>
          <w:tcPr>
            <w:tcW w:w="0" w:type="auto"/>
            <w:shd w:val="clear" w:color="auto" w:fill="auto"/>
            <w:vAlign w:val="center"/>
          </w:tcPr>
          <w:p w14:paraId="3EA2B00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颍东区</w:t>
            </w:r>
          </w:p>
        </w:tc>
        <w:tc>
          <w:tcPr>
            <w:tcW w:w="0" w:type="auto"/>
            <w:shd w:val="clear" w:color="auto" w:fill="auto"/>
            <w:vAlign w:val="center"/>
          </w:tcPr>
          <w:p w14:paraId="4BF2A51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29A57214">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建设年产2x10000吨高温尼龙、15万吨聚酰胺6切片、6万吨功能性POY、6万吨特种包覆丝，生物质热电、光伏发电及年产1200万立方米生物天然气、年产4万吨复混肥和2.6万吨有机肥的生物燃料等生产装置及配套设施</w:t>
            </w:r>
          </w:p>
        </w:tc>
        <w:tc>
          <w:tcPr>
            <w:tcW w:w="876" w:type="dxa"/>
            <w:shd w:val="clear" w:color="auto" w:fill="auto"/>
            <w:vAlign w:val="center"/>
          </w:tcPr>
          <w:p w14:paraId="7FECD0D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32.7</w:t>
            </w:r>
          </w:p>
        </w:tc>
        <w:tc>
          <w:tcPr>
            <w:tcW w:w="1787" w:type="dxa"/>
            <w:shd w:val="clear" w:color="auto" w:fill="auto"/>
            <w:vAlign w:val="center"/>
          </w:tcPr>
          <w:p w14:paraId="1D70598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安徽国祯集团股份有限公司</w:t>
            </w:r>
          </w:p>
        </w:tc>
        <w:tc>
          <w:tcPr>
            <w:tcW w:w="0" w:type="auto"/>
            <w:shd w:val="clear" w:color="auto" w:fill="auto"/>
            <w:vAlign w:val="center"/>
          </w:tcPr>
          <w:p w14:paraId="60FCE80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颍东化工园区</w:t>
            </w:r>
          </w:p>
        </w:tc>
        <w:tc>
          <w:tcPr>
            <w:tcW w:w="0" w:type="auto"/>
            <w:shd w:val="clear" w:color="auto" w:fill="auto"/>
            <w:vAlign w:val="center"/>
          </w:tcPr>
          <w:p w14:paraId="27C828E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253B3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0" w:type="auto"/>
            <w:shd w:val="clear" w:color="auto" w:fill="auto"/>
            <w:vAlign w:val="center"/>
          </w:tcPr>
          <w:p w14:paraId="7665EF6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9</w:t>
            </w:r>
          </w:p>
        </w:tc>
        <w:tc>
          <w:tcPr>
            <w:tcW w:w="0" w:type="auto"/>
            <w:shd w:val="clear" w:color="auto" w:fill="auto"/>
            <w:vAlign w:val="center"/>
          </w:tcPr>
          <w:p w14:paraId="51DE7FD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年产25万吨丁辛醇项目</w:t>
            </w:r>
          </w:p>
        </w:tc>
        <w:tc>
          <w:tcPr>
            <w:tcW w:w="0" w:type="auto"/>
            <w:shd w:val="clear" w:color="auto" w:fill="auto"/>
            <w:vAlign w:val="center"/>
          </w:tcPr>
          <w:p w14:paraId="1155449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颍东区</w:t>
            </w:r>
          </w:p>
        </w:tc>
        <w:tc>
          <w:tcPr>
            <w:tcW w:w="0" w:type="auto"/>
            <w:shd w:val="clear" w:color="auto" w:fill="auto"/>
            <w:vAlign w:val="center"/>
          </w:tcPr>
          <w:p w14:paraId="6F3F214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15D3306B">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占地250亩，建设年产25万吨丁辛醇生产装置及配套辅助设施</w:t>
            </w:r>
          </w:p>
        </w:tc>
        <w:tc>
          <w:tcPr>
            <w:tcW w:w="876" w:type="dxa"/>
            <w:shd w:val="clear" w:color="auto" w:fill="auto"/>
            <w:vAlign w:val="center"/>
          </w:tcPr>
          <w:p w14:paraId="1836D8C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42E817A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润泰新材料股份有限公司</w:t>
            </w:r>
          </w:p>
        </w:tc>
        <w:tc>
          <w:tcPr>
            <w:tcW w:w="0" w:type="auto"/>
            <w:shd w:val="clear" w:color="auto" w:fill="auto"/>
            <w:vAlign w:val="center"/>
          </w:tcPr>
          <w:p w14:paraId="1F44604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颍东化工园区</w:t>
            </w:r>
          </w:p>
        </w:tc>
        <w:tc>
          <w:tcPr>
            <w:tcW w:w="0" w:type="auto"/>
            <w:shd w:val="clear" w:color="auto" w:fill="auto"/>
            <w:vAlign w:val="center"/>
          </w:tcPr>
          <w:p w14:paraId="4DDAE76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019F5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2" w:hRule="atLeast"/>
        </w:trPr>
        <w:tc>
          <w:tcPr>
            <w:tcW w:w="0" w:type="auto"/>
            <w:shd w:val="clear" w:color="auto" w:fill="auto"/>
            <w:vAlign w:val="center"/>
          </w:tcPr>
          <w:p w14:paraId="2708FCA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0" w:type="auto"/>
            <w:shd w:val="clear" w:color="auto" w:fill="auto"/>
            <w:vAlign w:val="center"/>
          </w:tcPr>
          <w:p w14:paraId="2DDD80D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退城入园转型升级暨先进化工新材料项目</w:t>
            </w:r>
          </w:p>
        </w:tc>
        <w:tc>
          <w:tcPr>
            <w:tcW w:w="0" w:type="auto"/>
            <w:shd w:val="clear" w:color="auto" w:fill="auto"/>
            <w:vAlign w:val="center"/>
          </w:tcPr>
          <w:p w14:paraId="45C8AAA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颍东区</w:t>
            </w:r>
          </w:p>
        </w:tc>
        <w:tc>
          <w:tcPr>
            <w:tcW w:w="0" w:type="auto"/>
            <w:shd w:val="clear" w:color="auto" w:fill="auto"/>
            <w:vAlign w:val="center"/>
          </w:tcPr>
          <w:p w14:paraId="7902995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0D085274">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老厂区生产线拆除搬迁；2.老厂区及周边环境整治；3.老厂区土地开发利用；4.占地约1000亩，建设年产15万吨聚碳酸酯生产装置、年产30万吨碳酸二甲酯生产装置、年产10万吨PETG共聚聚酯生产装置、年产30万吨食品级液体二氧化碳生产装置、年产600万方高纯氢及500吨超纯液氢生产装置等</w:t>
            </w:r>
          </w:p>
        </w:tc>
        <w:tc>
          <w:tcPr>
            <w:tcW w:w="876" w:type="dxa"/>
            <w:shd w:val="clear" w:color="auto" w:fill="auto"/>
            <w:vAlign w:val="center"/>
          </w:tcPr>
          <w:p w14:paraId="7C1C9F5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116.2</w:t>
            </w:r>
          </w:p>
        </w:tc>
        <w:tc>
          <w:tcPr>
            <w:tcW w:w="1787" w:type="dxa"/>
            <w:shd w:val="clear" w:color="auto" w:fill="auto"/>
            <w:vAlign w:val="center"/>
          </w:tcPr>
          <w:p w14:paraId="101E294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安徽昊源化工集团有限公司</w:t>
            </w:r>
          </w:p>
        </w:tc>
        <w:tc>
          <w:tcPr>
            <w:tcW w:w="0" w:type="auto"/>
            <w:shd w:val="clear" w:color="auto" w:fill="auto"/>
            <w:vAlign w:val="center"/>
          </w:tcPr>
          <w:p w14:paraId="561ABF2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颍东化工园区</w:t>
            </w:r>
          </w:p>
        </w:tc>
        <w:tc>
          <w:tcPr>
            <w:tcW w:w="0" w:type="auto"/>
            <w:shd w:val="clear" w:color="auto" w:fill="auto"/>
            <w:vAlign w:val="center"/>
          </w:tcPr>
          <w:p w14:paraId="11E5141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5FFC3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0" w:type="auto"/>
            <w:shd w:val="clear" w:color="auto" w:fill="auto"/>
            <w:vAlign w:val="center"/>
          </w:tcPr>
          <w:p w14:paraId="5EE9A83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11</w:t>
            </w:r>
          </w:p>
        </w:tc>
        <w:tc>
          <w:tcPr>
            <w:tcW w:w="0" w:type="auto"/>
            <w:shd w:val="clear" w:color="auto" w:fill="auto"/>
            <w:vAlign w:val="center"/>
          </w:tcPr>
          <w:p w14:paraId="1A42CC3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年产20万吨碳酸二甲酯项目</w:t>
            </w:r>
          </w:p>
        </w:tc>
        <w:tc>
          <w:tcPr>
            <w:tcW w:w="0" w:type="auto"/>
            <w:shd w:val="clear" w:color="auto" w:fill="auto"/>
            <w:vAlign w:val="center"/>
          </w:tcPr>
          <w:p w14:paraId="6B0BE05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颍东区</w:t>
            </w:r>
          </w:p>
        </w:tc>
        <w:tc>
          <w:tcPr>
            <w:tcW w:w="0" w:type="auto"/>
            <w:shd w:val="clear" w:color="auto" w:fill="auto"/>
            <w:vAlign w:val="center"/>
          </w:tcPr>
          <w:p w14:paraId="40479E7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5ADBD716">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建设生产装置，配套建设罐区、充装等配设施与公用工程，形成年产20万吨碳酸二甲酯的能力</w:t>
            </w:r>
          </w:p>
        </w:tc>
        <w:tc>
          <w:tcPr>
            <w:tcW w:w="876" w:type="dxa"/>
            <w:shd w:val="clear" w:color="auto" w:fill="auto"/>
            <w:vAlign w:val="center"/>
          </w:tcPr>
          <w:p w14:paraId="78C915C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5FB4812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安徽昊源化工集团有限公司</w:t>
            </w:r>
          </w:p>
        </w:tc>
        <w:tc>
          <w:tcPr>
            <w:tcW w:w="0" w:type="auto"/>
            <w:shd w:val="clear" w:color="auto" w:fill="auto"/>
            <w:vAlign w:val="center"/>
          </w:tcPr>
          <w:p w14:paraId="276CA32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颍东化工园区</w:t>
            </w:r>
          </w:p>
        </w:tc>
        <w:tc>
          <w:tcPr>
            <w:tcW w:w="0" w:type="auto"/>
            <w:shd w:val="clear" w:color="auto" w:fill="auto"/>
            <w:vAlign w:val="center"/>
          </w:tcPr>
          <w:p w14:paraId="602F4C8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72A42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08BEAC7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w:t>
            </w:r>
          </w:p>
        </w:tc>
        <w:tc>
          <w:tcPr>
            <w:tcW w:w="0" w:type="auto"/>
            <w:shd w:val="clear" w:color="auto" w:fill="auto"/>
            <w:vAlign w:val="center"/>
          </w:tcPr>
          <w:p w14:paraId="30A402C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高端智能挖掘机项目</w:t>
            </w:r>
          </w:p>
        </w:tc>
        <w:tc>
          <w:tcPr>
            <w:tcW w:w="0" w:type="auto"/>
            <w:shd w:val="clear" w:color="auto" w:fill="auto"/>
            <w:vAlign w:val="center"/>
          </w:tcPr>
          <w:p w14:paraId="591D17C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颍东区</w:t>
            </w:r>
          </w:p>
        </w:tc>
        <w:tc>
          <w:tcPr>
            <w:tcW w:w="0" w:type="auto"/>
            <w:shd w:val="clear" w:color="auto" w:fill="auto"/>
            <w:vAlign w:val="center"/>
          </w:tcPr>
          <w:p w14:paraId="5759B41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0A66E46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占地200亩，总建筑面积10.5万平方米，其中厂房3万平方米，仓库6万平方米，配套设施1.5万平方米，年产2000台高端智能挖掘机</w:t>
            </w:r>
          </w:p>
        </w:tc>
        <w:tc>
          <w:tcPr>
            <w:tcW w:w="876" w:type="dxa"/>
            <w:shd w:val="clear" w:color="auto" w:fill="auto"/>
            <w:vAlign w:val="center"/>
          </w:tcPr>
          <w:p w14:paraId="4A82CBB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w:t>
            </w:r>
          </w:p>
        </w:tc>
        <w:tc>
          <w:tcPr>
            <w:tcW w:w="1787" w:type="dxa"/>
            <w:shd w:val="clear" w:color="auto" w:fill="auto"/>
            <w:vAlign w:val="center"/>
          </w:tcPr>
          <w:p w14:paraId="2DD5C0D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安徽张号召智能机械有限公司</w:t>
            </w:r>
          </w:p>
        </w:tc>
        <w:tc>
          <w:tcPr>
            <w:tcW w:w="0" w:type="auto"/>
            <w:shd w:val="clear" w:color="auto" w:fill="auto"/>
            <w:vAlign w:val="center"/>
          </w:tcPr>
          <w:p w14:paraId="32596D9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颍东区科技局</w:t>
            </w:r>
          </w:p>
        </w:tc>
        <w:tc>
          <w:tcPr>
            <w:tcW w:w="0" w:type="auto"/>
            <w:shd w:val="clear" w:color="auto" w:fill="auto"/>
            <w:vAlign w:val="center"/>
          </w:tcPr>
          <w:p w14:paraId="7CB142A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1139E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0" w:type="auto"/>
            <w:shd w:val="clear" w:color="auto" w:fill="auto"/>
            <w:vAlign w:val="center"/>
          </w:tcPr>
          <w:p w14:paraId="11C0505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13</w:t>
            </w:r>
          </w:p>
        </w:tc>
        <w:tc>
          <w:tcPr>
            <w:tcW w:w="0" w:type="auto"/>
            <w:shd w:val="clear" w:color="auto" w:fill="auto"/>
            <w:vAlign w:val="center"/>
          </w:tcPr>
          <w:p w14:paraId="4977232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阜阳（玉环）智能制造产业园项目</w:t>
            </w:r>
          </w:p>
        </w:tc>
        <w:tc>
          <w:tcPr>
            <w:tcW w:w="0" w:type="auto"/>
            <w:shd w:val="clear" w:color="auto" w:fill="auto"/>
            <w:vAlign w:val="center"/>
          </w:tcPr>
          <w:p w14:paraId="40A2F7C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颍东区</w:t>
            </w:r>
          </w:p>
        </w:tc>
        <w:tc>
          <w:tcPr>
            <w:tcW w:w="0" w:type="auto"/>
            <w:shd w:val="clear" w:color="auto" w:fill="auto"/>
            <w:vAlign w:val="center"/>
          </w:tcPr>
          <w:p w14:paraId="7B1D0FE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7E3FE340">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项目分为两期，一期租赁标准厂房1.7万平方米，购置生产设备；二期占地200亩，建设生产车间、办公楼、仓库等，配套建设道路、绿化、排水等公用辅助工程</w:t>
            </w:r>
          </w:p>
        </w:tc>
        <w:tc>
          <w:tcPr>
            <w:tcW w:w="876" w:type="dxa"/>
            <w:shd w:val="clear" w:color="auto" w:fill="auto"/>
            <w:vAlign w:val="center"/>
          </w:tcPr>
          <w:p w14:paraId="50A75A2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3B584B9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浙江美尔斯环境科技有限公司、台州威德隆机械有限公司、玉环茂喜阀门有限公司</w:t>
            </w:r>
          </w:p>
        </w:tc>
        <w:tc>
          <w:tcPr>
            <w:tcW w:w="0" w:type="auto"/>
            <w:shd w:val="clear" w:color="auto" w:fill="auto"/>
            <w:vAlign w:val="center"/>
          </w:tcPr>
          <w:p w14:paraId="12FF21B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颍东经济开发区管委会</w:t>
            </w:r>
          </w:p>
        </w:tc>
        <w:tc>
          <w:tcPr>
            <w:tcW w:w="0" w:type="auto"/>
            <w:shd w:val="clear" w:color="auto" w:fill="auto"/>
            <w:vAlign w:val="center"/>
          </w:tcPr>
          <w:p w14:paraId="2B9C1CD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617F8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0" w:type="auto"/>
            <w:shd w:val="clear" w:color="auto" w:fill="auto"/>
            <w:vAlign w:val="center"/>
          </w:tcPr>
          <w:p w14:paraId="66CA391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14</w:t>
            </w:r>
          </w:p>
        </w:tc>
        <w:tc>
          <w:tcPr>
            <w:tcW w:w="0" w:type="auto"/>
            <w:shd w:val="clear" w:color="auto" w:fill="auto"/>
            <w:vAlign w:val="center"/>
          </w:tcPr>
          <w:p w14:paraId="1B4AE77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年产30万吨合成气制乙醇产品结构调整项目</w:t>
            </w:r>
          </w:p>
        </w:tc>
        <w:tc>
          <w:tcPr>
            <w:tcW w:w="0" w:type="auto"/>
            <w:shd w:val="clear" w:color="auto" w:fill="auto"/>
            <w:vAlign w:val="center"/>
          </w:tcPr>
          <w:p w14:paraId="289E832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颍东区</w:t>
            </w:r>
          </w:p>
        </w:tc>
        <w:tc>
          <w:tcPr>
            <w:tcW w:w="0" w:type="auto"/>
            <w:shd w:val="clear" w:color="auto" w:fill="auto"/>
            <w:vAlign w:val="center"/>
          </w:tcPr>
          <w:p w14:paraId="577898D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4413F724">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建设深冷分离、PSA提氢、乙醇生产装置及配套公用工程，形成年产30万吨合成气制乙醇产品的能力</w:t>
            </w:r>
          </w:p>
        </w:tc>
        <w:tc>
          <w:tcPr>
            <w:tcW w:w="876" w:type="dxa"/>
            <w:shd w:val="clear" w:color="auto" w:fill="auto"/>
            <w:vAlign w:val="center"/>
          </w:tcPr>
          <w:p w14:paraId="5FCA204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11.51</w:t>
            </w:r>
          </w:p>
        </w:tc>
        <w:tc>
          <w:tcPr>
            <w:tcW w:w="1787" w:type="dxa"/>
            <w:shd w:val="clear" w:color="auto" w:fill="auto"/>
            <w:vAlign w:val="center"/>
          </w:tcPr>
          <w:p w14:paraId="1FB94EF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安徽昊源化工集团有限公司</w:t>
            </w:r>
          </w:p>
        </w:tc>
        <w:tc>
          <w:tcPr>
            <w:tcW w:w="0" w:type="auto"/>
            <w:shd w:val="clear" w:color="auto" w:fill="auto"/>
            <w:vAlign w:val="center"/>
          </w:tcPr>
          <w:p w14:paraId="6FA96CD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颍东经济开发区管委会</w:t>
            </w:r>
          </w:p>
        </w:tc>
        <w:tc>
          <w:tcPr>
            <w:tcW w:w="0" w:type="auto"/>
            <w:shd w:val="clear" w:color="auto" w:fill="auto"/>
            <w:vAlign w:val="center"/>
          </w:tcPr>
          <w:p w14:paraId="479BB38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5E54C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779F7C4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w:t>
            </w:r>
          </w:p>
        </w:tc>
        <w:tc>
          <w:tcPr>
            <w:tcW w:w="0" w:type="auto"/>
            <w:shd w:val="clear" w:color="auto" w:fill="auto"/>
            <w:vAlign w:val="center"/>
          </w:tcPr>
          <w:p w14:paraId="536C213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安徽福润转型升级新建项目</w:t>
            </w:r>
          </w:p>
        </w:tc>
        <w:tc>
          <w:tcPr>
            <w:tcW w:w="0" w:type="auto"/>
            <w:shd w:val="clear" w:color="auto" w:fill="auto"/>
            <w:vAlign w:val="center"/>
          </w:tcPr>
          <w:p w14:paraId="31555B0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颍东区</w:t>
            </w:r>
          </w:p>
        </w:tc>
        <w:tc>
          <w:tcPr>
            <w:tcW w:w="0" w:type="auto"/>
            <w:shd w:val="clear" w:color="auto" w:fill="auto"/>
            <w:vAlign w:val="center"/>
          </w:tcPr>
          <w:p w14:paraId="3EB43A4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185D0CC7">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879亩，一期投资额约10亿元，建设300万头生猪初加工、10万吨肉类与调理品深加工、区域研发及销售中心及其它配套设施等；二期投资额约13亿元，建设智慧型冷链物流和配送平台、中央厨房、5万吨休闲食品深加工、5万吨肉类与调理品深加工；三期投资额约8亿元，建设2万吨生物科技产品加工、3万吨调味品加工、5万吨素食品深加工</w:t>
            </w:r>
          </w:p>
        </w:tc>
        <w:tc>
          <w:tcPr>
            <w:tcW w:w="876" w:type="dxa"/>
            <w:shd w:val="clear" w:color="auto" w:fill="auto"/>
            <w:vAlign w:val="center"/>
          </w:tcPr>
          <w:p w14:paraId="332AE0F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31</w:t>
            </w:r>
          </w:p>
        </w:tc>
        <w:tc>
          <w:tcPr>
            <w:tcW w:w="1787" w:type="dxa"/>
            <w:shd w:val="clear" w:color="auto" w:fill="auto"/>
            <w:vAlign w:val="center"/>
          </w:tcPr>
          <w:p w14:paraId="7183F55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安徽省福润肉类加工有限公司</w:t>
            </w:r>
          </w:p>
        </w:tc>
        <w:tc>
          <w:tcPr>
            <w:tcW w:w="0" w:type="auto"/>
            <w:shd w:val="clear" w:color="auto" w:fill="auto"/>
            <w:vAlign w:val="center"/>
          </w:tcPr>
          <w:p w14:paraId="0D3E09F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颍东经济开发区管委会</w:t>
            </w:r>
          </w:p>
        </w:tc>
        <w:tc>
          <w:tcPr>
            <w:tcW w:w="0" w:type="auto"/>
            <w:shd w:val="clear" w:color="auto" w:fill="auto"/>
            <w:vAlign w:val="center"/>
          </w:tcPr>
          <w:p w14:paraId="24ABF33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1BE6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73F0D92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16</w:t>
            </w:r>
          </w:p>
        </w:tc>
        <w:tc>
          <w:tcPr>
            <w:tcW w:w="0" w:type="auto"/>
            <w:shd w:val="clear" w:color="auto" w:fill="auto"/>
            <w:vAlign w:val="center"/>
          </w:tcPr>
          <w:p w14:paraId="31C1292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年产25万吨苯酚、15万吨丙酮项目</w:t>
            </w:r>
          </w:p>
        </w:tc>
        <w:tc>
          <w:tcPr>
            <w:tcW w:w="0" w:type="auto"/>
            <w:shd w:val="clear" w:color="auto" w:fill="auto"/>
            <w:vAlign w:val="center"/>
          </w:tcPr>
          <w:p w14:paraId="4F495D9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颍东区</w:t>
            </w:r>
          </w:p>
        </w:tc>
        <w:tc>
          <w:tcPr>
            <w:tcW w:w="0" w:type="auto"/>
            <w:shd w:val="clear" w:color="auto" w:fill="auto"/>
            <w:vAlign w:val="center"/>
          </w:tcPr>
          <w:p w14:paraId="655E573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2CAC8D6A">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总建筑面积28.7万平方米，建设生产装置及相关配套设施，形成年产25万吨苯酚、15万吨丙酮的能力</w:t>
            </w:r>
          </w:p>
        </w:tc>
        <w:tc>
          <w:tcPr>
            <w:tcW w:w="876" w:type="dxa"/>
            <w:shd w:val="clear" w:color="auto" w:fill="auto"/>
            <w:vAlign w:val="center"/>
          </w:tcPr>
          <w:p w14:paraId="4030718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w:t>
            </w:r>
          </w:p>
        </w:tc>
        <w:tc>
          <w:tcPr>
            <w:tcW w:w="1787" w:type="dxa"/>
            <w:shd w:val="clear" w:color="auto" w:fill="auto"/>
            <w:vAlign w:val="center"/>
          </w:tcPr>
          <w:p w14:paraId="49C3EB3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杭摩科技新材料（阜阳）有限公司</w:t>
            </w:r>
          </w:p>
        </w:tc>
        <w:tc>
          <w:tcPr>
            <w:tcW w:w="0" w:type="auto"/>
            <w:shd w:val="clear" w:color="auto" w:fill="auto"/>
            <w:vAlign w:val="center"/>
          </w:tcPr>
          <w:p w14:paraId="2E1B828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颍东经济开发区管委会</w:t>
            </w:r>
          </w:p>
        </w:tc>
        <w:tc>
          <w:tcPr>
            <w:tcW w:w="0" w:type="auto"/>
            <w:shd w:val="clear" w:color="auto" w:fill="auto"/>
            <w:vAlign w:val="center"/>
          </w:tcPr>
          <w:p w14:paraId="7D39A25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6F063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0" w:type="auto"/>
            <w:gridSpan w:val="9"/>
            <w:shd w:val="clear" w:color="auto" w:fill="auto"/>
            <w:vAlign w:val="center"/>
          </w:tcPr>
          <w:p w14:paraId="12220371">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颍泉区18个，总投资553.18亿元</w:t>
            </w:r>
          </w:p>
        </w:tc>
      </w:tr>
      <w:tr w14:paraId="4E7B9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5" w:hRule="atLeast"/>
        </w:trPr>
        <w:tc>
          <w:tcPr>
            <w:tcW w:w="0" w:type="auto"/>
            <w:shd w:val="clear" w:color="auto" w:fill="auto"/>
            <w:vAlign w:val="center"/>
          </w:tcPr>
          <w:p w14:paraId="2025844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w:t>
            </w:r>
          </w:p>
        </w:tc>
        <w:tc>
          <w:tcPr>
            <w:tcW w:w="0" w:type="auto"/>
            <w:shd w:val="clear" w:color="auto" w:fill="auto"/>
            <w:vAlign w:val="center"/>
          </w:tcPr>
          <w:p w14:paraId="3BD9893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阜阳智能制造产业园-无人机产业园一期项目</w:t>
            </w:r>
          </w:p>
        </w:tc>
        <w:tc>
          <w:tcPr>
            <w:tcW w:w="0" w:type="auto"/>
            <w:shd w:val="clear" w:color="auto" w:fill="auto"/>
            <w:vAlign w:val="center"/>
          </w:tcPr>
          <w:p w14:paraId="5AC1D82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w:t>
            </w:r>
          </w:p>
        </w:tc>
        <w:tc>
          <w:tcPr>
            <w:tcW w:w="0" w:type="auto"/>
            <w:shd w:val="clear" w:color="auto" w:fill="auto"/>
            <w:vAlign w:val="center"/>
          </w:tcPr>
          <w:p w14:paraId="643A53A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3355E794">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总建筑面积21.19万平方米，建设总部研发厂房、高层厂房、招商运营展示中心等，配套建设试飞场地、供配电、给排水、道路等辅助设施</w:t>
            </w:r>
          </w:p>
        </w:tc>
        <w:tc>
          <w:tcPr>
            <w:tcW w:w="876" w:type="dxa"/>
            <w:shd w:val="clear" w:color="auto" w:fill="auto"/>
            <w:vAlign w:val="center"/>
          </w:tcPr>
          <w:p w14:paraId="7FC49C3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16.66</w:t>
            </w:r>
          </w:p>
        </w:tc>
        <w:tc>
          <w:tcPr>
            <w:tcW w:w="1787" w:type="dxa"/>
            <w:shd w:val="clear" w:color="auto" w:fill="auto"/>
            <w:vAlign w:val="center"/>
          </w:tcPr>
          <w:p w14:paraId="0B80214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阜阳安水建设项目管理有限公司</w:t>
            </w:r>
          </w:p>
        </w:tc>
        <w:tc>
          <w:tcPr>
            <w:tcW w:w="0" w:type="auto"/>
            <w:shd w:val="clear" w:color="auto" w:fill="auto"/>
            <w:vAlign w:val="center"/>
          </w:tcPr>
          <w:p w14:paraId="20F0ACE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颍泉区经济和信息化局</w:t>
            </w:r>
          </w:p>
        </w:tc>
        <w:tc>
          <w:tcPr>
            <w:tcW w:w="0" w:type="auto"/>
            <w:shd w:val="clear" w:color="auto" w:fill="auto"/>
            <w:vAlign w:val="center"/>
          </w:tcPr>
          <w:p w14:paraId="5CF974E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19784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95" w:hRule="atLeast"/>
        </w:trPr>
        <w:tc>
          <w:tcPr>
            <w:tcW w:w="0" w:type="auto"/>
            <w:shd w:val="clear" w:color="auto" w:fill="auto"/>
            <w:vAlign w:val="center"/>
          </w:tcPr>
          <w:p w14:paraId="497AEAA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w:t>
            </w:r>
          </w:p>
        </w:tc>
        <w:tc>
          <w:tcPr>
            <w:tcW w:w="0" w:type="auto"/>
            <w:shd w:val="clear" w:color="auto" w:fill="auto"/>
            <w:vAlign w:val="center"/>
          </w:tcPr>
          <w:p w14:paraId="0CC89C9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阜阳市颍泉区5G智慧产业园建设项目</w:t>
            </w:r>
          </w:p>
        </w:tc>
        <w:tc>
          <w:tcPr>
            <w:tcW w:w="0" w:type="auto"/>
            <w:shd w:val="clear" w:color="auto" w:fill="auto"/>
            <w:vAlign w:val="center"/>
          </w:tcPr>
          <w:p w14:paraId="26E184F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w:t>
            </w:r>
          </w:p>
        </w:tc>
        <w:tc>
          <w:tcPr>
            <w:tcW w:w="0" w:type="auto"/>
            <w:shd w:val="clear" w:color="auto" w:fill="auto"/>
            <w:vAlign w:val="center"/>
          </w:tcPr>
          <w:p w14:paraId="2F57425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7FECAD91">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基地通过建设高端智能制造产业集群、产学研创新要素集群、配套人才服务集群的三大集群，打造一流产业转型升级示范基地、“产学研资”深度融合创新基地、宜业宜居科技综合体</w:t>
            </w:r>
          </w:p>
        </w:tc>
        <w:tc>
          <w:tcPr>
            <w:tcW w:w="876" w:type="dxa"/>
            <w:shd w:val="clear" w:color="auto" w:fill="auto"/>
            <w:vAlign w:val="center"/>
          </w:tcPr>
          <w:p w14:paraId="6189260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25.71</w:t>
            </w:r>
          </w:p>
        </w:tc>
        <w:tc>
          <w:tcPr>
            <w:tcW w:w="1787" w:type="dxa"/>
            <w:shd w:val="clear" w:color="auto" w:fill="auto"/>
            <w:vAlign w:val="center"/>
          </w:tcPr>
          <w:p w14:paraId="714B3D9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颍泉工业发展投资有限公司</w:t>
            </w:r>
          </w:p>
        </w:tc>
        <w:tc>
          <w:tcPr>
            <w:tcW w:w="0" w:type="auto"/>
            <w:shd w:val="clear" w:color="auto" w:fill="auto"/>
            <w:vAlign w:val="center"/>
          </w:tcPr>
          <w:p w14:paraId="4392EF7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安徽颍泉经济开发区管委会</w:t>
            </w:r>
          </w:p>
        </w:tc>
        <w:tc>
          <w:tcPr>
            <w:tcW w:w="0" w:type="auto"/>
            <w:shd w:val="clear" w:color="auto" w:fill="auto"/>
            <w:vAlign w:val="center"/>
          </w:tcPr>
          <w:p w14:paraId="140FF8F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0F63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5" w:hRule="atLeast"/>
        </w:trPr>
        <w:tc>
          <w:tcPr>
            <w:tcW w:w="0" w:type="auto"/>
            <w:shd w:val="clear" w:color="auto" w:fill="auto"/>
            <w:vAlign w:val="center"/>
          </w:tcPr>
          <w:p w14:paraId="2545E2C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w:t>
            </w:r>
          </w:p>
        </w:tc>
        <w:tc>
          <w:tcPr>
            <w:tcW w:w="0" w:type="auto"/>
            <w:shd w:val="clear" w:color="auto" w:fill="auto"/>
            <w:vAlign w:val="center"/>
          </w:tcPr>
          <w:p w14:paraId="7AE485F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武汉英泰斯特汽车智能网联软硬件生产与制造项目</w:t>
            </w:r>
          </w:p>
        </w:tc>
        <w:tc>
          <w:tcPr>
            <w:tcW w:w="0" w:type="auto"/>
            <w:shd w:val="clear" w:color="auto" w:fill="auto"/>
            <w:vAlign w:val="center"/>
          </w:tcPr>
          <w:p w14:paraId="6A512A3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w:t>
            </w:r>
          </w:p>
        </w:tc>
        <w:tc>
          <w:tcPr>
            <w:tcW w:w="0" w:type="auto"/>
            <w:shd w:val="clear" w:color="auto" w:fill="auto"/>
            <w:vAlign w:val="center"/>
          </w:tcPr>
          <w:p w14:paraId="75D57F3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59741188">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3.4万平方米，项目分两期建设，建设建设内容为T-Box、智能天线等智能车载终端自动化生产、检测及组装流水线、车联网数据运营中心、新能源汽车监管服务平台，配套建设安全、消防、环保等设施，一期预计实现T-BOX年产能50万台、智能天线年产能50万台；二期预计实现智能天线年产能150万台</w:t>
            </w:r>
          </w:p>
        </w:tc>
        <w:tc>
          <w:tcPr>
            <w:tcW w:w="876" w:type="dxa"/>
            <w:shd w:val="clear" w:color="auto" w:fill="auto"/>
            <w:vAlign w:val="center"/>
          </w:tcPr>
          <w:p w14:paraId="4AA58C1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10.5</w:t>
            </w:r>
          </w:p>
        </w:tc>
        <w:tc>
          <w:tcPr>
            <w:tcW w:w="1787" w:type="dxa"/>
            <w:shd w:val="clear" w:color="auto" w:fill="auto"/>
            <w:vAlign w:val="center"/>
          </w:tcPr>
          <w:p w14:paraId="4FABA08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安徽英泰斯特电子技术有限公司</w:t>
            </w:r>
          </w:p>
        </w:tc>
        <w:tc>
          <w:tcPr>
            <w:tcW w:w="0" w:type="auto"/>
            <w:shd w:val="clear" w:color="auto" w:fill="auto"/>
            <w:vAlign w:val="center"/>
          </w:tcPr>
          <w:p w14:paraId="2F6AD67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安徽颍泉经济开发区管委会</w:t>
            </w:r>
          </w:p>
        </w:tc>
        <w:tc>
          <w:tcPr>
            <w:tcW w:w="0" w:type="auto"/>
            <w:shd w:val="clear" w:color="auto" w:fill="auto"/>
            <w:vAlign w:val="center"/>
          </w:tcPr>
          <w:p w14:paraId="6210C33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76D78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65" w:hRule="atLeast"/>
        </w:trPr>
        <w:tc>
          <w:tcPr>
            <w:tcW w:w="0" w:type="auto"/>
            <w:shd w:val="clear" w:color="auto" w:fill="auto"/>
            <w:vAlign w:val="center"/>
          </w:tcPr>
          <w:p w14:paraId="3C38750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4</w:t>
            </w:r>
          </w:p>
        </w:tc>
        <w:tc>
          <w:tcPr>
            <w:tcW w:w="0" w:type="auto"/>
            <w:shd w:val="clear" w:color="auto" w:fill="auto"/>
            <w:vAlign w:val="center"/>
          </w:tcPr>
          <w:p w14:paraId="6E6A486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智慧物流托盘、热熔成型机设备生产研发项目</w:t>
            </w:r>
          </w:p>
        </w:tc>
        <w:tc>
          <w:tcPr>
            <w:tcW w:w="0" w:type="auto"/>
            <w:shd w:val="clear" w:color="auto" w:fill="auto"/>
            <w:vAlign w:val="center"/>
          </w:tcPr>
          <w:p w14:paraId="535E1AE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w:t>
            </w:r>
          </w:p>
        </w:tc>
        <w:tc>
          <w:tcPr>
            <w:tcW w:w="0" w:type="auto"/>
            <w:shd w:val="clear" w:color="auto" w:fill="auto"/>
            <w:vAlign w:val="center"/>
          </w:tcPr>
          <w:p w14:paraId="619B93E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7DB4D82F">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分两期建设，一期拟征地150亩，100亩用于建设厂房，50亩用于物流仓储，二期拟征地180亩，建设智慧物流装备(热熔成型机与托盘）、包装材料、硅芯片制造含氟耗材等生产线及物流仓储设施</w:t>
            </w:r>
          </w:p>
        </w:tc>
        <w:tc>
          <w:tcPr>
            <w:tcW w:w="876" w:type="dxa"/>
            <w:shd w:val="clear" w:color="auto" w:fill="auto"/>
            <w:vAlign w:val="center"/>
          </w:tcPr>
          <w:p w14:paraId="56678EC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10.8</w:t>
            </w:r>
          </w:p>
        </w:tc>
        <w:tc>
          <w:tcPr>
            <w:tcW w:w="1787" w:type="dxa"/>
            <w:shd w:val="clear" w:color="auto" w:fill="auto"/>
            <w:vAlign w:val="center"/>
          </w:tcPr>
          <w:p w14:paraId="5E982F1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香港信睿国际投资控股有限公司</w:t>
            </w:r>
          </w:p>
        </w:tc>
        <w:tc>
          <w:tcPr>
            <w:tcW w:w="0" w:type="auto"/>
            <w:shd w:val="clear" w:color="auto" w:fill="auto"/>
            <w:vAlign w:val="center"/>
          </w:tcPr>
          <w:p w14:paraId="4A774C3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颍泉区招商投资促进中心</w:t>
            </w:r>
          </w:p>
        </w:tc>
        <w:tc>
          <w:tcPr>
            <w:tcW w:w="0" w:type="auto"/>
            <w:shd w:val="clear" w:color="auto" w:fill="auto"/>
            <w:vAlign w:val="center"/>
          </w:tcPr>
          <w:p w14:paraId="08D5650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448C0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trPr>
        <w:tc>
          <w:tcPr>
            <w:tcW w:w="0" w:type="auto"/>
            <w:shd w:val="clear" w:color="auto" w:fill="auto"/>
            <w:vAlign w:val="center"/>
          </w:tcPr>
          <w:p w14:paraId="66F24E8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w:t>
            </w:r>
          </w:p>
        </w:tc>
        <w:tc>
          <w:tcPr>
            <w:tcW w:w="0" w:type="auto"/>
            <w:shd w:val="clear" w:color="auto" w:fill="auto"/>
            <w:vAlign w:val="center"/>
          </w:tcPr>
          <w:p w14:paraId="34C24E0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年产3GWH动力电池及储能电池</w:t>
            </w:r>
          </w:p>
        </w:tc>
        <w:tc>
          <w:tcPr>
            <w:tcW w:w="0" w:type="auto"/>
            <w:shd w:val="clear" w:color="auto" w:fill="auto"/>
            <w:vAlign w:val="center"/>
          </w:tcPr>
          <w:p w14:paraId="42666F1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w:t>
            </w:r>
          </w:p>
        </w:tc>
        <w:tc>
          <w:tcPr>
            <w:tcW w:w="0" w:type="auto"/>
            <w:shd w:val="clear" w:color="auto" w:fill="auto"/>
            <w:vAlign w:val="center"/>
          </w:tcPr>
          <w:p w14:paraId="48ED3E8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3FAC1836">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分两期实施，一期拟租赁10万平方米，建设1GWH的锂离子正极材料、电解液生产线及相关配套企业不低于0.5GWH的锂电池组装生产线；二期建设不低于0.5GWH的锂离子正极材料、电解液生产线，及相关配套企业1GWH的电芯生产及0.5GWH的锂电池组装生产线</w:t>
            </w:r>
          </w:p>
        </w:tc>
        <w:tc>
          <w:tcPr>
            <w:tcW w:w="876" w:type="dxa"/>
            <w:shd w:val="clear" w:color="auto" w:fill="auto"/>
            <w:vAlign w:val="center"/>
          </w:tcPr>
          <w:p w14:paraId="2D8E3A5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17.3</w:t>
            </w:r>
          </w:p>
        </w:tc>
        <w:tc>
          <w:tcPr>
            <w:tcW w:w="1787" w:type="dxa"/>
            <w:shd w:val="clear" w:color="auto" w:fill="auto"/>
            <w:vAlign w:val="center"/>
          </w:tcPr>
          <w:p w14:paraId="56158C8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隆能科技（南通）有限公司</w:t>
            </w:r>
          </w:p>
        </w:tc>
        <w:tc>
          <w:tcPr>
            <w:tcW w:w="0" w:type="auto"/>
            <w:shd w:val="clear" w:color="auto" w:fill="auto"/>
            <w:vAlign w:val="center"/>
          </w:tcPr>
          <w:p w14:paraId="5463E21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颍泉区区委办公室</w:t>
            </w:r>
          </w:p>
        </w:tc>
        <w:tc>
          <w:tcPr>
            <w:tcW w:w="0" w:type="auto"/>
            <w:shd w:val="clear" w:color="auto" w:fill="auto"/>
            <w:vAlign w:val="center"/>
          </w:tcPr>
          <w:p w14:paraId="399871C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5664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4824684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6</w:t>
            </w:r>
          </w:p>
        </w:tc>
        <w:tc>
          <w:tcPr>
            <w:tcW w:w="0" w:type="auto"/>
            <w:shd w:val="clear" w:color="auto" w:fill="auto"/>
            <w:vAlign w:val="center"/>
          </w:tcPr>
          <w:p w14:paraId="19CA5C3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新松机器人产业园</w:t>
            </w:r>
          </w:p>
        </w:tc>
        <w:tc>
          <w:tcPr>
            <w:tcW w:w="0" w:type="auto"/>
            <w:shd w:val="clear" w:color="auto" w:fill="auto"/>
            <w:vAlign w:val="center"/>
          </w:tcPr>
          <w:p w14:paraId="1A6A6ED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w:t>
            </w:r>
          </w:p>
        </w:tc>
        <w:tc>
          <w:tcPr>
            <w:tcW w:w="0" w:type="auto"/>
            <w:shd w:val="clear" w:color="auto" w:fill="auto"/>
            <w:vAlign w:val="center"/>
          </w:tcPr>
          <w:p w14:paraId="73127B4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4A9A7109">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总面积118.79万平方米，以新松机器人为核心企业，重点发展特种机器人、服务机器人、工业机器人等产品研发制造项目，建设新松智能制造装备工厂</w:t>
            </w:r>
          </w:p>
        </w:tc>
        <w:tc>
          <w:tcPr>
            <w:tcW w:w="876" w:type="dxa"/>
            <w:shd w:val="clear" w:color="auto" w:fill="auto"/>
            <w:vAlign w:val="center"/>
          </w:tcPr>
          <w:p w14:paraId="15D7241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42</w:t>
            </w:r>
          </w:p>
        </w:tc>
        <w:tc>
          <w:tcPr>
            <w:tcW w:w="1787" w:type="dxa"/>
            <w:shd w:val="clear" w:color="auto" w:fill="auto"/>
            <w:vAlign w:val="center"/>
          </w:tcPr>
          <w:p w14:paraId="50D1061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新松机器人产业发展（阜阳）有限公司</w:t>
            </w:r>
          </w:p>
        </w:tc>
        <w:tc>
          <w:tcPr>
            <w:tcW w:w="0" w:type="auto"/>
            <w:shd w:val="clear" w:color="auto" w:fill="auto"/>
            <w:vAlign w:val="center"/>
          </w:tcPr>
          <w:p w14:paraId="3F81EF6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颍泉区区委办公室</w:t>
            </w:r>
          </w:p>
        </w:tc>
        <w:tc>
          <w:tcPr>
            <w:tcW w:w="0" w:type="auto"/>
            <w:shd w:val="clear" w:color="auto" w:fill="auto"/>
            <w:vAlign w:val="center"/>
          </w:tcPr>
          <w:p w14:paraId="6ECC869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5BC71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0" w:type="auto"/>
            <w:shd w:val="clear" w:color="auto" w:fill="auto"/>
            <w:vAlign w:val="center"/>
          </w:tcPr>
          <w:p w14:paraId="343EA1F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7</w:t>
            </w:r>
          </w:p>
        </w:tc>
        <w:tc>
          <w:tcPr>
            <w:tcW w:w="0" w:type="auto"/>
            <w:shd w:val="clear" w:color="auto" w:fill="auto"/>
            <w:vAlign w:val="center"/>
          </w:tcPr>
          <w:p w14:paraId="217CD5E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阜阳电厂二期扩建工程</w:t>
            </w:r>
          </w:p>
        </w:tc>
        <w:tc>
          <w:tcPr>
            <w:tcW w:w="0" w:type="auto"/>
            <w:shd w:val="clear" w:color="auto" w:fill="auto"/>
            <w:vAlign w:val="center"/>
          </w:tcPr>
          <w:p w14:paraId="78004B0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w:t>
            </w:r>
          </w:p>
        </w:tc>
        <w:tc>
          <w:tcPr>
            <w:tcW w:w="0" w:type="auto"/>
            <w:shd w:val="clear" w:color="auto" w:fill="auto"/>
            <w:vAlign w:val="center"/>
          </w:tcPr>
          <w:p w14:paraId="2C97DA5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07B7BE1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总建筑面积28万平方米，新建2台660兆瓦超超临界凝汽式燃煤发电机组，配2台1968.6吨/小时超超临界变压直流煤粉炉；配套建设全封闭煤场、灰渣系统、供排水、固废处理处置等工程</w:t>
            </w:r>
          </w:p>
        </w:tc>
        <w:tc>
          <w:tcPr>
            <w:tcW w:w="876" w:type="dxa"/>
            <w:shd w:val="clear" w:color="auto" w:fill="auto"/>
            <w:vAlign w:val="center"/>
          </w:tcPr>
          <w:p w14:paraId="47F4A22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48.2</w:t>
            </w:r>
          </w:p>
        </w:tc>
        <w:tc>
          <w:tcPr>
            <w:tcW w:w="1787" w:type="dxa"/>
            <w:shd w:val="clear" w:color="auto" w:fill="auto"/>
            <w:vAlign w:val="center"/>
          </w:tcPr>
          <w:p w14:paraId="735CA35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阜阳华润电力有限公司</w:t>
            </w:r>
          </w:p>
        </w:tc>
        <w:tc>
          <w:tcPr>
            <w:tcW w:w="0" w:type="auto"/>
            <w:shd w:val="clear" w:color="auto" w:fill="auto"/>
            <w:vAlign w:val="center"/>
          </w:tcPr>
          <w:p w14:paraId="73FC597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颍泉区经济和信息化局</w:t>
            </w:r>
          </w:p>
        </w:tc>
        <w:tc>
          <w:tcPr>
            <w:tcW w:w="0" w:type="auto"/>
            <w:shd w:val="clear" w:color="auto" w:fill="auto"/>
            <w:vAlign w:val="center"/>
          </w:tcPr>
          <w:p w14:paraId="65B090B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5B52C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95" w:hRule="atLeast"/>
        </w:trPr>
        <w:tc>
          <w:tcPr>
            <w:tcW w:w="0" w:type="auto"/>
            <w:shd w:val="clear" w:color="auto" w:fill="auto"/>
            <w:vAlign w:val="center"/>
          </w:tcPr>
          <w:p w14:paraId="52353C3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8</w:t>
            </w:r>
          </w:p>
        </w:tc>
        <w:tc>
          <w:tcPr>
            <w:tcW w:w="0" w:type="auto"/>
            <w:shd w:val="clear" w:color="auto" w:fill="auto"/>
            <w:vAlign w:val="center"/>
          </w:tcPr>
          <w:p w14:paraId="62EB44C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国电投铁·铬液流电池生产项目</w:t>
            </w:r>
          </w:p>
        </w:tc>
        <w:tc>
          <w:tcPr>
            <w:tcW w:w="0" w:type="auto"/>
            <w:shd w:val="clear" w:color="auto" w:fill="auto"/>
            <w:vAlign w:val="center"/>
          </w:tcPr>
          <w:p w14:paraId="0452494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w:t>
            </w:r>
          </w:p>
        </w:tc>
        <w:tc>
          <w:tcPr>
            <w:tcW w:w="0" w:type="auto"/>
            <w:shd w:val="clear" w:color="auto" w:fill="auto"/>
            <w:vAlign w:val="center"/>
          </w:tcPr>
          <w:p w14:paraId="0273AF0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7C5EAAC7">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占地900亩，建设铁·铬液流电池和氢燃料电池及智慧能源示范基地，计划建设10条铁·铬液流电池生产线，同步设立阜阳研究中心</w:t>
            </w:r>
          </w:p>
        </w:tc>
        <w:tc>
          <w:tcPr>
            <w:tcW w:w="876" w:type="dxa"/>
            <w:shd w:val="clear" w:color="auto" w:fill="auto"/>
            <w:vAlign w:val="center"/>
          </w:tcPr>
          <w:p w14:paraId="180E36B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43</w:t>
            </w:r>
          </w:p>
        </w:tc>
        <w:tc>
          <w:tcPr>
            <w:tcW w:w="1787" w:type="dxa"/>
            <w:shd w:val="clear" w:color="auto" w:fill="auto"/>
            <w:vAlign w:val="center"/>
          </w:tcPr>
          <w:p w14:paraId="0DB5E26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国家电力投资集团有限公司</w:t>
            </w:r>
          </w:p>
        </w:tc>
        <w:tc>
          <w:tcPr>
            <w:tcW w:w="0" w:type="auto"/>
            <w:shd w:val="clear" w:color="auto" w:fill="auto"/>
            <w:vAlign w:val="center"/>
          </w:tcPr>
          <w:p w14:paraId="01C47A6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颍泉区招商投资促进中心</w:t>
            </w:r>
          </w:p>
        </w:tc>
        <w:tc>
          <w:tcPr>
            <w:tcW w:w="0" w:type="auto"/>
            <w:shd w:val="clear" w:color="auto" w:fill="auto"/>
            <w:vAlign w:val="center"/>
          </w:tcPr>
          <w:p w14:paraId="04C4CB6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36501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0" w:type="auto"/>
            <w:shd w:val="clear" w:color="auto" w:fill="auto"/>
            <w:vAlign w:val="center"/>
          </w:tcPr>
          <w:p w14:paraId="74D6506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9</w:t>
            </w:r>
          </w:p>
        </w:tc>
        <w:tc>
          <w:tcPr>
            <w:tcW w:w="0" w:type="auto"/>
            <w:shd w:val="clear" w:color="auto" w:fill="auto"/>
            <w:vAlign w:val="center"/>
          </w:tcPr>
          <w:p w14:paraId="30B1396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领航国创阜阳新能源产业园项目</w:t>
            </w:r>
          </w:p>
        </w:tc>
        <w:tc>
          <w:tcPr>
            <w:tcW w:w="0" w:type="auto"/>
            <w:shd w:val="clear" w:color="auto" w:fill="auto"/>
            <w:vAlign w:val="center"/>
          </w:tcPr>
          <w:p w14:paraId="0B312CC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w:t>
            </w:r>
          </w:p>
        </w:tc>
        <w:tc>
          <w:tcPr>
            <w:tcW w:w="0" w:type="auto"/>
            <w:shd w:val="clear" w:color="auto" w:fill="auto"/>
            <w:vAlign w:val="center"/>
          </w:tcPr>
          <w:p w14:paraId="45D55CC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756044B8">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用地约210亩，规划建设生产厂房、仓储用房、办公用房，配套道路、供水等基础设施，形成年产5.75亿安时领航固态电池的生产能力</w:t>
            </w:r>
          </w:p>
        </w:tc>
        <w:tc>
          <w:tcPr>
            <w:tcW w:w="876" w:type="dxa"/>
            <w:shd w:val="clear" w:color="auto" w:fill="auto"/>
            <w:vAlign w:val="center"/>
          </w:tcPr>
          <w:p w14:paraId="1A8F605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28.5</w:t>
            </w:r>
          </w:p>
        </w:tc>
        <w:tc>
          <w:tcPr>
            <w:tcW w:w="1787" w:type="dxa"/>
            <w:shd w:val="clear" w:color="auto" w:fill="auto"/>
            <w:vAlign w:val="center"/>
          </w:tcPr>
          <w:p w14:paraId="2438A4D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领航国创控股集团有限责任公司</w:t>
            </w:r>
          </w:p>
        </w:tc>
        <w:tc>
          <w:tcPr>
            <w:tcW w:w="0" w:type="auto"/>
            <w:shd w:val="clear" w:color="auto" w:fill="auto"/>
            <w:vAlign w:val="center"/>
          </w:tcPr>
          <w:p w14:paraId="049BF89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颍泉经济开发区管委会</w:t>
            </w:r>
          </w:p>
        </w:tc>
        <w:tc>
          <w:tcPr>
            <w:tcW w:w="0" w:type="auto"/>
            <w:shd w:val="clear" w:color="auto" w:fill="auto"/>
            <w:vAlign w:val="center"/>
          </w:tcPr>
          <w:p w14:paraId="0C35904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1DBC2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35" w:hRule="atLeast"/>
        </w:trPr>
        <w:tc>
          <w:tcPr>
            <w:tcW w:w="0" w:type="auto"/>
            <w:shd w:val="clear" w:color="auto" w:fill="auto"/>
            <w:vAlign w:val="center"/>
          </w:tcPr>
          <w:p w14:paraId="1BFA097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0" w:type="auto"/>
            <w:shd w:val="clear" w:color="auto" w:fill="auto"/>
            <w:vAlign w:val="center"/>
          </w:tcPr>
          <w:p w14:paraId="26402DB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爱谱华顿5G智慧传输设备生产及工业互联网项目</w:t>
            </w:r>
          </w:p>
        </w:tc>
        <w:tc>
          <w:tcPr>
            <w:tcW w:w="0" w:type="auto"/>
            <w:shd w:val="clear" w:color="auto" w:fill="auto"/>
            <w:vAlign w:val="center"/>
          </w:tcPr>
          <w:p w14:paraId="07D33FD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w:t>
            </w:r>
          </w:p>
        </w:tc>
        <w:tc>
          <w:tcPr>
            <w:tcW w:w="0" w:type="auto"/>
            <w:shd w:val="clear" w:color="auto" w:fill="auto"/>
            <w:vAlign w:val="center"/>
          </w:tcPr>
          <w:p w14:paraId="7343EBE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0D159D6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分两期实施，其中一期项目租赁无人机产业园厂房约4万平方米，主要生产电线电缆、视频监控、楼宇自控等，二期计划新征60亩工业用地，同时与区兴泉公司共同出资成立供应链公司，解决5G智慧传输设备生产项目融资事宜</w:t>
            </w:r>
          </w:p>
        </w:tc>
        <w:tc>
          <w:tcPr>
            <w:tcW w:w="876" w:type="dxa"/>
            <w:shd w:val="clear" w:color="auto" w:fill="auto"/>
            <w:vAlign w:val="center"/>
          </w:tcPr>
          <w:p w14:paraId="51A1D74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162E8F6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安徽爱谱华顿电子科技有限公司</w:t>
            </w:r>
          </w:p>
        </w:tc>
        <w:tc>
          <w:tcPr>
            <w:tcW w:w="0" w:type="auto"/>
            <w:shd w:val="clear" w:color="auto" w:fill="auto"/>
            <w:vAlign w:val="center"/>
          </w:tcPr>
          <w:p w14:paraId="13FE29E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颍泉区区委办公室</w:t>
            </w:r>
          </w:p>
        </w:tc>
        <w:tc>
          <w:tcPr>
            <w:tcW w:w="0" w:type="auto"/>
            <w:shd w:val="clear" w:color="auto" w:fill="auto"/>
            <w:vAlign w:val="center"/>
          </w:tcPr>
          <w:p w14:paraId="3E398D6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3A202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2CCDEAD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11</w:t>
            </w:r>
          </w:p>
        </w:tc>
        <w:tc>
          <w:tcPr>
            <w:tcW w:w="0" w:type="auto"/>
            <w:shd w:val="clear" w:color="auto" w:fill="auto"/>
            <w:vAlign w:val="center"/>
          </w:tcPr>
          <w:p w14:paraId="2FB6117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年产能45亿安时领航固态电池生产基地项目</w:t>
            </w:r>
          </w:p>
        </w:tc>
        <w:tc>
          <w:tcPr>
            <w:tcW w:w="0" w:type="auto"/>
            <w:shd w:val="clear" w:color="auto" w:fill="auto"/>
            <w:vAlign w:val="center"/>
          </w:tcPr>
          <w:p w14:paraId="0508BED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w:t>
            </w:r>
          </w:p>
        </w:tc>
        <w:tc>
          <w:tcPr>
            <w:tcW w:w="0" w:type="auto"/>
            <w:shd w:val="clear" w:color="auto" w:fill="auto"/>
            <w:vAlign w:val="center"/>
          </w:tcPr>
          <w:p w14:paraId="277EE80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6889114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用地1300亩，规划建设12条生产线，建成达产后税收约15亿元，解决就业4800人</w:t>
            </w:r>
          </w:p>
        </w:tc>
        <w:tc>
          <w:tcPr>
            <w:tcW w:w="876" w:type="dxa"/>
            <w:shd w:val="clear" w:color="auto" w:fill="auto"/>
            <w:vAlign w:val="center"/>
          </w:tcPr>
          <w:p w14:paraId="041CE4A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169.48</w:t>
            </w:r>
          </w:p>
        </w:tc>
        <w:tc>
          <w:tcPr>
            <w:tcW w:w="1787" w:type="dxa"/>
            <w:shd w:val="clear" w:color="auto" w:fill="auto"/>
            <w:vAlign w:val="center"/>
          </w:tcPr>
          <w:p w14:paraId="56EDBF9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领航国创控股集团有限责任公司</w:t>
            </w:r>
          </w:p>
        </w:tc>
        <w:tc>
          <w:tcPr>
            <w:tcW w:w="0" w:type="auto"/>
            <w:shd w:val="clear" w:color="auto" w:fill="auto"/>
            <w:vAlign w:val="center"/>
          </w:tcPr>
          <w:p w14:paraId="7D4673F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颍泉经济开发区管委会</w:t>
            </w:r>
          </w:p>
        </w:tc>
        <w:tc>
          <w:tcPr>
            <w:tcW w:w="0" w:type="auto"/>
            <w:shd w:val="clear" w:color="auto" w:fill="auto"/>
            <w:vAlign w:val="center"/>
          </w:tcPr>
          <w:p w14:paraId="5F083DD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3E3AE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0" w:type="auto"/>
            <w:shd w:val="clear" w:color="auto" w:fill="auto"/>
            <w:vAlign w:val="center"/>
          </w:tcPr>
          <w:p w14:paraId="6EDD13F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w:t>
            </w:r>
          </w:p>
        </w:tc>
        <w:tc>
          <w:tcPr>
            <w:tcW w:w="0" w:type="auto"/>
            <w:shd w:val="clear" w:color="auto" w:fill="auto"/>
            <w:vAlign w:val="center"/>
          </w:tcPr>
          <w:p w14:paraId="287B22A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阜阳华润电厂固废资源和城市建筑垃圾处理（置）中心</w:t>
            </w:r>
          </w:p>
        </w:tc>
        <w:tc>
          <w:tcPr>
            <w:tcW w:w="0" w:type="auto"/>
            <w:shd w:val="clear" w:color="auto" w:fill="auto"/>
            <w:vAlign w:val="center"/>
          </w:tcPr>
          <w:p w14:paraId="78EC4A9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w:t>
            </w:r>
          </w:p>
        </w:tc>
        <w:tc>
          <w:tcPr>
            <w:tcW w:w="0" w:type="auto"/>
            <w:shd w:val="clear" w:color="auto" w:fill="auto"/>
            <w:vAlign w:val="center"/>
          </w:tcPr>
          <w:p w14:paraId="1CE1541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159ECAAC">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总建筑面积44.78万平方米，分两期，一期建设粉煤灰蒸压加气混凝土制品和干混砂浆项目；二期建设纤维增强硅酸钙板、石膏空心条板、建筑骨料及延伸制品等生产项目以及配套建设装配式建筑研发中心</w:t>
            </w:r>
          </w:p>
        </w:tc>
        <w:tc>
          <w:tcPr>
            <w:tcW w:w="876" w:type="dxa"/>
            <w:shd w:val="clear" w:color="auto" w:fill="auto"/>
            <w:vAlign w:val="center"/>
          </w:tcPr>
          <w:p w14:paraId="454F463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18.05</w:t>
            </w:r>
          </w:p>
        </w:tc>
        <w:tc>
          <w:tcPr>
            <w:tcW w:w="1787" w:type="dxa"/>
            <w:shd w:val="clear" w:color="auto" w:fill="auto"/>
            <w:vAlign w:val="center"/>
          </w:tcPr>
          <w:p w14:paraId="7105E60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安徽阜阳富龙建筑材料有限责任公司</w:t>
            </w:r>
          </w:p>
        </w:tc>
        <w:tc>
          <w:tcPr>
            <w:tcW w:w="0" w:type="auto"/>
            <w:shd w:val="clear" w:color="auto" w:fill="auto"/>
            <w:vAlign w:val="center"/>
          </w:tcPr>
          <w:p w14:paraId="6E1B138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颍泉区人大办公室</w:t>
            </w:r>
          </w:p>
        </w:tc>
        <w:tc>
          <w:tcPr>
            <w:tcW w:w="0" w:type="auto"/>
            <w:shd w:val="clear" w:color="auto" w:fill="auto"/>
            <w:vAlign w:val="center"/>
          </w:tcPr>
          <w:p w14:paraId="3C29131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61701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00" w:hRule="atLeast"/>
        </w:trPr>
        <w:tc>
          <w:tcPr>
            <w:tcW w:w="0" w:type="auto"/>
            <w:shd w:val="clear" w:color="auto" w:fill="auto"/>
            <w:vAlign w:val="center"/>
          </w:tcPr>
          <w:p w14:paraId="609FCC5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13</w:t>
            </w:r>
          </w:p>
        </w:tc>
        <w:tc>
          <w:tcPr>
            <w:tcW w:w="0" w:type="auto"/>
            <w:shd w:val="clear" w:color="auto" w:fill="auto"/>
            <w:vAlign w:val="center"/>
          </w:tcPr>
          <w:p w14:paraId="4EEEBEB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年产13万套第三代等离子节能炬、10万套固废处理设备和6万套脱硫脱硝除尘设备生产线项目</w:t>
            </w:r>
          </w:p>
        </w:tc>
        <w:tc>
          <w:tcPr>
            <w:tcW w:w="0" w:type="auto"/>
            <w:shd w:val="clear" w:color="auto" w:fill="auto"/>
            <w:vAlign w:val="center"/>
          </w:tcPr>
          <w:p w14:paraId="3A74D6E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w:t>
            </w:r>
          </w:p>
        </w:tc>
        <w:tc>
          <w:tcPr>
            <w:tcW w:w="0" w:type="auto"/>
            <w:shd w:val="clear" w:color="auto" w:fill="auto"/>
            <w:vAlign w:val="center"/>
          </w:tcPr>
          <w:p w14:paraId="0A728A5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131278B7">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分两期实施，一期项目使用过渡厂房，面积约1.3万平方米，其中1万平方米用于生产，0.3万平方米用于领航国创产品展示，建设年产1000套第三代等离子节能炬和固废处理设备生产线，建成投产后年产值5亿元，税收0.3亿元。二期项目用地约500亩</w:t>
            </w:r>
          </w:p>
        </w:tc>
        <w:tc>
          <w:tcPr>
            <w:tcW w:w="876" w:type="dxa"/>
            <w:shd w:val="clear" w:color="auto" w:fill="auto"/>
            <w:vAlign w:val="center"/>
          </w:tcPr>
          <w:p w14:paraId="6983DB0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29</w:t>
            </w:r>
          </w:p>
        </w:tc>
        <w:tc>
          <w:tcPr>
            <w:tcW w:w="1787" w:type="dxa"/>
            <w:shd w:val="clear" w:color="auto" w:fill="auto"/>
            <w:vAlign w:val="center"/>
          </w:tcPr>
          <w:p w14:paraId="7AE24AF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领航国创控股集团有限责任公司</w:t>
            </w:r>
          </w:p>
        </w:tc>
        <w:tc>
          <w:tcPr>
            <w:tcW w:w="0" w:type="auto"/>
            <w:shd w:val="clear" w:color="auto" w:fill="auto"/>
            <w:vAlign w:val="center"/>
          </w:tcPr>
          <w:p w14:paraId="20B420F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颍泉经济开发区管委会</w:t>
            </w:r>
          </w:p>
        </w:tc>
        <w:tc>
          <w:tcPr>
            <w:tcW w:w="0" w:type="auto"/>
            <w:shd w:val="clear" w:color="auto" w:fill="auto"/>
            <w:vAlign w:val="center"/>
          </w:tcPr>
          <w:p w14:paraId="2CCF8A3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5A11D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65" w:hRule="atLeast"/>
        </w:trPr>
        <w:tc>
          <w:tcPr>
            <w:tcW w:w="0" w:type="auto"/>
            <w:shd w:val="clear" w:color="auto" w:fill="auto"/>
            <w:vAlign w:val="center"/>
          </w:tcPr>
          <w:p w14:paraId="78ECD75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14</w:t>
            </w:r>
          </w:p>
        </w:tc>
        <w:tc>
          <w:tcPr>
            <w:tcW w:w="0" w:type="auto"/>
            <w:shd w:val="clear" w:color="auto" w:fill="auto"/>
            <w:vAlign w:val="center"/>
          </w:tcPr>
          <w:p w14:paraId="6C7FDE4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中信海直通用航空项目</w:t>
            </w:r>
          </w:p>
        </w:tc>
        <w:tc>
          <w:tcPr>
            <w:tcW w:w="0" w:type="auto"/>
            <w:shd w:val="clear" w:color="auto" w:fill="auto"/>
            <w:vAlign w:val="center"/>
          </w:tcPr>
          <w:p w14:paraId="010544E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w:t>
            </w:r>
          </w:p>
        </w:tc>
        <w:tc>
          <w:tcPr>
            <w:tcW w:w="0" w:type="auto"/>
            <w:shd w:val="clear" w:color="auto" w:fill="auto"/>
            <w:vAlign w:val="center"/>
          </w:tcPr>
          <w:p w14:paraId="5314427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3F774F94">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分两期实施：一期约4亿元，租赁标准厂房3万平方米，建设具备年产1万台农业植保无人机生产能力的生产线和无人机试飞、航空应急救援基地。二期项目投资约6亿元，建设无人机制造基地、无人机应用培训基地、通航维修基地、运行指挥中心、办公大楼、测试中心等</w:t>
            </w:r>
          </w:p>
        </w:tc>
        <w:tc>
          <w:tcPr>
            <w:tcW w:w="876" w:type="dxa"/>
            <w:shd w:val="clear" w:color="auto" w:fill="auto"/>
            <w:vAlign w:val="center"/>
          </w:tcPr>
          <w:p w14:paraId="63BA0B0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5A4178B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中信海洋直升机股份有限公司</w:t>
            </w:r>
          </w:p>
        </w:tc>
        <w:tc>
          <w:tcPr>
            <w:tcW w:w="0" w:type="auto"/>
            <w:shd w:val="clear" w:color="auto" w:fill="auto"/>
            <w:vAlign w:val="center"/>
          </w:tcPr>
          <w:p w14:paraId="3992720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颍泉区招商投资促进中心</w:t>
            </w:r>
          </w:p>
        </w:tc>
        <w:tc>
          <w:tcPr>
            <w:tcW w:w="0" w:type="auto"/>
            <w:shd w:val="clear" w:color="auto" w:fill="auto"/>
            <w:vAlign w:val="center"/>
          </w:tcPr>
          <w:p w14:paraId="5E1D3C0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6714D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7CAE061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w:t>
            </w:r>
          </w:p>
        </w:tc>
        <w:tc>
          <w:tcPr>
            <w:tcW w:w="0" w:type="auto"/>
            <w:shd w:val="clear" w:color="auto" w:fill="auto"/>
            <w:vAlign w:val="center"/>
          </w:tcPr>
          <w:p w14:paraId="2AC248D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颍泉经开区科技创新中心</w:t>
            </w:r>
          </w:p>
        </w:tc>
        <w:tc>
          <w:tcPr>
            <w:tcW w:w="0" w:type="auto"/>
            <w:shd w:val="clear" w:color="auto" w:fill="auto"/>
            <w:vAlign w:val="center"/>
          </w:tcPr>
          <w:p w14:paraId="7D5CB89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w:t>
            </w:r>
          </w:p>
        </w:tc>
        <w:tc>
          <w:tcPr>
            <w:tcW w:w="0" w:type="auto"/>
            <w:shd w:val="clear" w:color="auto" w:fill="auto"/>
            <w:vAlign w:val="center"/>
          </w:tcPr>
          <w:p w14:paraId="5EDCF06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647DD74F">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总建筑面积47.86万平方米，建设钢构厂房及标准厂房，配套建设环卫、绿化、道路停车场、配电工程、消防等辅助设施</w:t>
            </w:r>
          </w:p>
        </w:tc>
        <w:tc>
          <w:tcPr>
            <w:tcW w:w="876" w:type="dxa"/>
            <w:shd w:val="clear" w:color="auto" w:fill="auto"/>
            <w:vAlign w:val="center"/>
          </w:tcPr>
          <w:p w14:paraId="0B25B77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w:t>
            </w:r>
          </w:p>
        </w:tc>
        <w:tc>
          <w:tcPr>
            <w:tcW w:w="1787" w:type="dxa"/>
            <w:shd w:val="clear" w:color="auto" w:fill="auto"/>
            <w:vAlign w:val="center"/>
          </w:tcPr>
          <w:p w14:paraId="03B27D2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颍泉工业投资发展有限公司</w:t>
            </w:r>
          </w:p>
        </w:tc>
        <w:tc>
          <w:tcPr>
            <w:tcW w:w="0" w:type="auto"/>
            <w:shd w:val="clear" w:color="auto" w:fill="auto"/>
            <w:vAlign w:val="center"/>
          </w:tcPr>
          <w:p w14:paraId="5A3C555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颍泉经济开发区管委会</w:t>
            </w:r>
          </w:p>
        </w:tc>
        <w:tc>
          <w:tcPr>
            <w:tcW w:w="0" w:type="auto"/>
            <w:shd w:val="clear" w:color="auto" w:fill="auto"/>
            <w:vAlign w:val="center"/>
          </w:tcPr>
          <w:p w14:paraId="108E741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4EE32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0" w:type="auto"/>
            <w:shd w:val="clear" w:color="auto" w:fill="auto"/>
            <w:vAlign w:val="center"/>
          </w:tcPr>
          <w:p w14:paraId="48E11A4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16</w:t>
            </w:r>
          </w:p>
        </w:tc>
        <w:tc>
          <w:tcPr>
            <w:tcW w:w="0" w:type="auto"/>
            <w:shd w:val="clear" w:color="auto" w:fill="auto"/>
            <w:vAlign w:val="center"/>
          </w:tcPr>
          <w:p w14:paraId="184DE1B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绿色集成装配式产业基地</w:t>
            </w:r>
          </w:p>
        </w:tc>
        <w:tc>
          <w:tcPr>
            <w:tcW w:w="0" w:type="auto"/>
            <w:shd w:val="clear" w:color="auto" w:fill="auto"/>
            <w:vAlign w:val="center"/>
          </w:tcPr>
          <w:p w14:paraId="7CE8B35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w:t>
            </w:r>
          </w:p>
        </w:tc>
        <w:tc>
          <w:tcPr>
            <w:tcW w:w="0" w:type="auto"/>
            <w:shd w:val="clear" w:color="auto" w:fill="auto"/>
            <w:vAlign w:val="center"/>
          </w:tcPr>
          <w:p w14:paraId="0F4B697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1EEADBD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建筑面积60万平方米。建设产业基地。建成投产后，可实现年产40万吨钢结构装配式材料、10万方PC构件、10万方ALC板，解决劳动就业人员约1500余人</w:t>
            </w:r>
          </w:p>
        </w:tc>
        <w:tc>
          <w:tcPr>
            <w:tcW w:w="876" w:type="dxa"/>
            <w:shd w:val="clear" w:color="auto" w:fill="auto"/>
            <w:vAlign w:val="center"/>
          </w:tcPr>
          <w:p w14:paraId="10FC18E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30</w:t>
            </w:r>
          </w:p>
        </w:tc>
        <w:tc>
          <w:tcPr>
            <w:tcW w:w="1787" w:type="dxa"/>
            <w:shd w:val="clear" w:color="auto" w:fill="auto"/>
            <w:vAlign w:val="center"/>
          </w:tcPr>
          <w:p w14:paraId="5E7DA0A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安徽中源控股集团</w:t>
            </w:r>
          </w:p>
        </w:tc>
        <w:tc>
          <w:tcPr>
            <w:tcW w:w="0" w:type="auto"/>
            <w:shd w:val="clear" w:color="auto" w:fill="auto"/>
            <w:vAlign w:val="center"/>
          </w:tcPr>
          <w:p w14:paraId="55238E0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颍泉区政府办公室</w:t>
            </w:r>
          </w:p>
        </w:tc>
        <w:tc>
          <w:tcPr>
            <w:tcW w:w="0" w:type="auto"/>
            <w:shd w:val="clear" w:color="auto" w:fill="auto"/>
            <w:vAlign w:val="center"/>
          </w:tcPr>
          <w:p w14:paraId="3D2C777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6F0F4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05" w:hRule="atLeast"/>
        </w:trPr>
        <w:tc>
          <w:tcPr>
            <w:tcW w:w="0" w:type="auto"/>
            <w:shd w:val="clear" w:color="auto" w:fill="auto"/>
            <w:vAlign w:val="center"/>
          </w:tcPr>
          <w:p w14:paraId="44EE017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17</w:t>
            </w:r>
          </w:p>
        </w:tc>
        <w:tc>
          <w:tcPr>
            <w:tcW w:w="0" w:type="auto"/>
            <w:shd w:val="clear" w:color="auto" w:fill="auto"/>
            <w:vAlign w:val="center"/>
          </w:tcPr>
          <w:p w14:paraId="3ACD40E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祥晟药业医疗器械、卫生材料及辅料、保健食品、中药饮片项目</w:t>
            </w:r>
          </w:p>
        </w:tc>
        <w:tc>
          <w:tcPr>
            <w:tcW w:w="0" w:type="auto"/>
            <w:shd w:val="clear" w:color="auto" w:fill="auto"/>
            <w:vAlign w:val="center"/>
          </w:tcPr>
          <w:p w14:paraId="41CFB3A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w:t>
            </w:r>
          </w:p>
        </w:tc>
        <w:tc>
          <w:tcPr>
            <w:tcW w:w="0" w:type="auto"/>
            <w:shd w:val="clear" w:color="auto" w:fill="auto"/>
            <w:vAlign w:val="center"/>
          </w:tcPr>
          <w:p w14:paraId="585F0C2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0074F9A9">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8.2万平方米，建设电子体温计生产车间、卫生材料生产车间、钙片系列保健食品生产车间、中药饮片生产车间、仓库用房、研发办公综合楼、其他辅助用房，购置现代化的医疗器械各类电子体温计各项生产设备、卫生材料生产设备、钙片系列设备、中药饮片生产设备，并配套建设道路，停车场，围墙，绿化，供配电，给排水，消防等公用辅助工程</w:t>
            </w:r>
          </w:p>
        </w:tc>
        <w:tc>
          <w:tcPr>
            <w:tcW w:w="876" w:type="dxa"/>
            <w:shd w:val="clear" w:color="auto" w:fill="auto"/>
            <w:vAlign w:val="center"/>
          </w:tcPr>
          <w:p w14:paraId="481014A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10.6</w:t>
            </w:r>
          </w:p>
        </w:tc>
        <w:tc>
          <w:tcPr>
            <w:tcW w:w="1787" w:type="dxa"/>
            <w:shd w:val="clear" w:color="auto" w:fill="auto"/>
            <w:vAlign w:val="center"/>
          </w:tcPr>
          <w:p w14:paraId="0BEEBBF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安徽祥晟药业有限公司</w:t>
            </w:r>
          </w:p>
        </w:tc>
        <w:tc>
          <w:tcPr>
            <w:tcW w:w="0" w:type="auto"/>
            <w:shd w:val="clear" w:color="auto" w:fill="auto"/>
            <w:vAlign w:val="center"/>
          </w:tcPr>
          <w:p w14:paraId="3218893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颍泉区城乡统筹试验区管委会</w:t>
            </w:r>
          </w:p>
        </w:tc>
        <w:tc>
          <w:tcPr>
            <w:tcW w:w="0" w:type="auto"/>
            <w:shd w:val="clear" w:color="auto" w:fill="auto"/>
            <w:vAlign w:val="center"/>
          </w:tcPr>
          <w:p w14:paraId="5F2822C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6E47E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trPr>
        <w:tc>
          <w:tcPr>
            <w:tcW w:w="0" w:type="auto"/>
            <w:shd w:val="clear" w:color="auto" w:fill="auto"/>
            <w:vAlign w:val="center"/>
          </w:tcPr>
          <w:p w14:paraId="1077896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18</w:t>
            </w:r>
          </w:p>
        </w:tc>
        <w:tc>
          <w:tcPr>
            <w:tcW w:w="0" w:type="auto"/>
            <w:shd w:val="clear" w:color="auto" w:fill="auto"/>
            <w:vAlign w:val="center"/>
          </w:tcPr>
          <w:p w14:paraId="09C5DA6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阜阳市颍泉区现代产业园及基础设施建设项目</w:t>
            </w:r>
          </w:p>
        </w:tc>
        <w:tc>
          <w:tcPr>
            <w:tcW w:w="0" w:type="auto"/>
            <w:shd w:val="clear" w:color="auto" w:fill="auto"/>
            <w:vAlign w:val="center"/>
          </w:tcPr>
          <w:p w14:paraId="09047A6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颍泉区</w:t>
            </w:r>
          </w:p>
        </w:tc>
        <w:tc>
          <w:tcPr>
            <w:tcW w:w="0" w:type="auto"/>
            <w:shd w:val="clear" w:color="auto" w:fill="auto"/>
            <w:vAlign w:val="center"/>
          </w:tcPr>
          <w:p w14:paraId="04A3097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39CFBB4D">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总建筑面积约58.64万平方米，建设标准化厂房、单层厂房、综合服务楼、地下建筑，配套建设环卫绿化、道路停车场、供配电、消防和变配电工程等辅助设施</w:t>
            </w:r>
          </w:p>
        </w:tc>
        <w:tc>
          <w:tcPr>
            <w:tcW w:w="876" w:type="dxa"/>
            <w:shd w:val="clear" w:color="auto" w:fill="auto"/>
            <w:vAlign w:val="center"/>
          </w:tcPr>
          <w:p w14:paraId="065B2B9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21.38</w:t>
            </w:r>
          </w:p>
        </w:tc>
        <w:tc>
          <w:tcPr>
            <w:tcW w:w="1787" w:type="dxa"/>
            <w:shd w:val="clear" w:color="auto" w:fill="auto"/>
            <w:vAlign w:val="center"/>
          </w:tcPr>
          <w:p w14:paraId="0E1A806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颍泉工业投资发展有限公司</w:t>
            </w:r>
          </w:p>
        </w:tc>
        <w:tc>
          <w:tcPr>
            <w:tcW w:w="0" w:type="auto"/>
            <w:shd w:val="clear" w:color="auto" w:fill="auto"/>
            <w:vAlign w:val="center"/>
          </w:tcPr>
          <w:p w14:paraId="32E9E38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颍泉经济开发区管委会</w:t>
            </w:r>
          </w:p>
        </w:tc>
        <w:tc>
          <w:tcPr>
            <w:tcW w:w="0" w:type="auto"/>
            <w:shd w:val="clear" w:color="auto" w:fill="auto"/>
            <w:vAlign w:val="center"/>
          </w:tcPr>
          <w:p w14:paraId="0C571F0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4682C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0" w:type="auto"/>
            <w:gridSpan w:val="9"/>
            <w:shd w:val="clear" w:color="auto" w:fill="auto"/>
            <w:vAlign w:val="center"/>
          </w:tcPr>
          <w:p w14:paraId="188E8F39">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临泉县18个，总投资364.93亿元</w:t>
            </w:r>
          </w:p>
        </w:tc>
      </w:tr>
      <w:tr w14:paraId="6DA76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5DF7196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w:t>
            </w:r>
          </w:p>
        </w:tc>
        <w:tc>
          <w:tcPr>
            <w:tcW w:w="0" w:type="auto"/>
            <w:shd w:val="clear" w:color="auto" w:fill="auto"/>
            <w:vAlign w:val="center"/>
          </w:tcPr>
          <w:p w14:paraId="2C781EE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闽粤台包装科技产业园建设项目</w:t>
            </w:r>
          </w:p>
        </w:tc>
        <w:tc>
          <w:tcPr>
            <w:tcW w:w="0" w:type="auto"/>
            <w:shd w:val="clear" w:color="auto" w:fill="auto"/>
            <w:vAlign w:val="center"/>
          </w:tcPr>
          <w:p w14:paraId="204F5CE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w:t>
            </w:r>
          </w:p>
        </w:tc>
        <w:tc>
          <w:tcPr>
            <w:tcW w:w="0" w:type="auto"/>
            <w:shd w:val="clear" w:color="auto" w:fill="auto"/>
            <w:vAlign w:val="center"/>
          </w:tcPr>
          <w:p w14:paraId="11574C9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57CB5B4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项目规划用地600亩，一期200亩，购置先进生产设备</w:t>
            </w:r>
          </w:p>
        </w:tc>
        <w:tc>
          <w:tcPr>
            <w:tcW w:w="876" w:type="dxa"/>
            <w:shd w:val="clear" w:color="auto" w:fill="auto"/>
            <w:vAlign w:val="center"/>
          </w:tcPr>
          <w:p w14:paraId="64B2AE4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14.5</w:t>
            </w:r>
          </w:p>
        </w:tc>
        <w:tc>
          <w:tcPr>
            <w:tcW w:w="1787" w:type="dxa"/>
            <w:shd w:val="clear" w:color="auto" w:fill="auto"/>
            <w:vAlign w:val="center"/>
          </w:tcPr>
          <w:p w14:paraId="737AB0F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安徽闽粤台包装科技有限公司</w:t>
            </w:r>
          </w:p>
        </w:tc>
        <w:tc>
          <w:tcPr>
            <w:tcW w:w="0" w:type="auto"/>
            <w:shd w:val="clear" w:color="auto" w:fill="auto"/>
            <w:vAlign w:val="center"/>
          </w:tcPr>
          <w:p w14:paraId="7698B8C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临泉县经信局</w:t>
            </w:r>
          </w:p>
        </w:tc>
        <w:tc>
          <w:tcPr>
            <w:tcW w:w="0" w:type="auto"/>
            <w:shd w:val="clear" w:color="auto" w:fill="auto"/>
            <w:vAlign w:val="center"/>
          </w:tcPr>
          <w:p w14:paraId="5301D1B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7057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1B9748B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w:t>
            </w:r>
          </w:p>
        </w:tc>
        <w:tc>
          <w:tcPr>
            <w:tcW w:w="0" w:type="auto"/>
            <w:shd w:val="clear" w:color="auto" w:fill="auto"/>
            <w:vAlign w:val="center"/>
          </w:tcPr>
          <w:p w14:paraId="1B44AE7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年屠宰加工500万头生猪建设项目</w:t>
            </w:r>
          </w:p>
        </w:tc>
        <w:tc>
          <w:tcPr>
            <w:tcW w:w="0" w:type="auto"/>
            <w:shd w:val="clear" w:color="auto" w:fill="auto"/>
            <w:vAlign w:val="center"/>
          </w:tcPr>
          <w:p w14:paraId="48697C8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w:t>
            </w:r>
          </w:p>
        </w:tc>
        <w:tc>
          <w:tcPr>
            <w:tcW w:w="0" w:type="auto"/>
            <w:shd w:val="clear" w:color="auto" w:fill="auto"/>
            <w:vAlign w:val="center"/>
          </w:tcPr>
          <w:p w14:paraId="2468E90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5ACC21C1">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总建筑面积11.4万平米，建设屠宰车间、立体库、制冷机房等，冷冻设备、检测仪器等，项目建成投产后，形成年屠宰加工500万头生猪的生产能力</w:t>
            </w:r>
          </w:p>
        </w:tc>
        <w:tc>
          <w:tcPr>
            <w:tcW w:w="876" w:type="dxa"/>
            <w:shd w:val="clear" w:color="auto" w:fill="auto"/>
            <w:vAlign w:val="center"/>
          </w:tcPr>
          <w:p w14:paraId="53E63B8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13.28</w:t>
            </w:r>
          </w:p>
        </w:tc>
        <w:tc>
          <w:tcPr>
            <w:tcW w:w="1787" w:type="dxa"/>
            <w:shd w:val="clear" w:color="auto" w:fill="auto"/>
            <w:vAlign w:val="center"/>
          </w:tcPr>
          <w:p w14:paraId="137E82C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阜阳天邦食品有限公司</w:t>
            </w:r>
          </w:p>
        </w:tc>
        <w:tc>
          <w:tcPr>
            <w:tcW w:w="0" w:type="auto"/>
            <w:shd w:val="clear" w:color="auto" w:fill="auto"/>
            <w:vAlign w:val="center"/>
          </w:tcPr>
          <w:p w14:paraId="10FBB40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临泉县杨桥镇食品产业园</w:t>
            </w:r>
          </w:p>
        </w:tc>
        <w:tc>
          <w:tcPr>
            <w:tcW w:w="0" w:type="auto"/>
            <w:shd w:val="clear" w:color="auto" w:fill="auto"/>
            <w:vAlign w:val="center"/>
          </w:tcPr>
          <w:p w14:paraId="6C5DB34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2DB9F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5" w:hRule="atLeast"/>
        </w:trPr>
        <w:tc>
          <w:tcPr>
            <w:tcW w:w="0" w:type="auto"/>
            <w:shd w:val="clear" w:color="auto" w:fill="auto"/>
            <w:vAlign w:val="center"/>
          </w:tcPr>
          <w:p w14:paraId="3813A1E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w:t>
            </w:r>
          </w:p>
        </w:tc>
        <w:tc>
          <w:tcPr>
            <w:tcW w:w="0" w:type="auto"/>
            <w:shd w:val="clear" w:color="auto" w:fill="auto"/>
            <w:vAlign w:val="center"/>
          </w:tcPr>
          <w:p w14:paraId="79879ED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临泉庐阳现代产业园欣荣创新创业基地建设项目</w:t>
            </w:r>
          </w:p>
        </w:tc>
        <w:tc>
          <w:tcPr>
            <w:tcW w:w="0" w:type="auto"/>
            <w:shd w:val="clear" w:color="auto" w:fill="auto"/>
            <w:vAlign w:val="center"/>
          </w:tcPr>
          <w:p w14:paraId="6175788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w:t>
            </w:r>
          </w:p>
        </w:tc>
        <w:tc>
          <w:tcPr>
            <w:tcW w:w="0" w:type="auto"/>
            <w:shd w:val="clear" w:color="auto" w:fill="auto"/>
            <w:vAlign w:val="center"/>
          </w:tcPr>
          <w:p w14:paraId="7F219C8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1A854496">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欣荣创新创业基地建设项目拟规划用地面积80.41亩（约合53606.7平方米），项目总图规划科技创新区、商务办公区、配套服务区的三大功能区，配套建设场地总图工程、区内道路工程、区内绿化及景观工程及相关配套的公用设施工程</w:t>
            </w:r>
          </w:p>
        </w:tc>
        <w:tc>
          <w:tcPr>
            <w:tcW w:w="876" w:type="dxa"/>
            <w:shd w:val="clear" w:color="auto" w:fill="auto"/>
            <w:vAlign w:val="center"/>
          </w:tcPr>
          <w:p w14:paraId="142B568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5.6</w:t>
            </w:r>
          </w:p>
        </w:tc>
        <w:tc>
          <w:tcPr>
            <w:tcW w:w="1787" w:type="dxa"/>
            <w:shd w:val="clear" w:color="auto" w:fill="auto"/>
            <w:vAlign w:val="center"/>
          </w:tcPr>
          <w:p w14:paraId="5065A7A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临泉欣荣建设投资有限公司</w:t>
            </w:r>
          </w:p>
        </w:tc>
        <w:tc>
          <w:tcPr>
            <w:tcW w:w="0" w:type="auto"/>
            <w:shd w:val="clear" w:color="auto" w:fill="auto"/>
            <w:vAlign w:val="center"/>
          </w:tcPr>
          <w:p w14:paraId="6C337D1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临庐产业园管委会</w:t>
            </w:r>
          </w:p>
        </w:tc>
        <w:tc>
          <w:tcPr>
            <w:tcW w:w="0" w:type="auto"/>
            <w:shd w:val="clear" w:color="auto" w:fill="auto"/>
            <w:vAlign w:val="center"/>
          </w:tcPr>
          <w:p w14:paraId="4D8C5D9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7DE68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55" w:hRule="atLeast"/>
        </w:trPr>
        <w:tc>
          <w:tcPr>
            <w:tcW w:w="0" w:type="auto"/>
            <w:shd w:val="clear" w:color="auto" w:fill="auto"/>
            <w:vAlign w:val="center"/>
          </w:tcPr>
          <w:p w14:paraId="11C4E4D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4</w:t>
            </w:r>
          </w:p>
        </w:tc>
        <w:tc>
          <w:tcPr>
            <w:tcW w:w="0" w:type="auto"/>
            <w:shd w:val="clear" w:color="auto" w:fill="auto"/>
            <w:vAlign w:val="center"/>
          </w:tcPr>
          <w:p w14:paraId="4A91D71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临泉国家农业科技园区产业发展项目</w:t>
            </w:r>
          </w:p>
        </w:tc>
        <w:tc>
          <w:tcPr>
            <w:tcW w:w="0" w:type="auto"/>
            <w:shd w:val="clear" w:color="auto" w:fill="auto"/>
            <w:vAlign w:val="center"/>
          </w:tcPr>
          <w:p w14:paraId="1DC1B56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w:t>
            </w:r>
          </w:p>
        </w:tc>
        <w:tc>
          <w:tcPr>
            <w:tcW w:w="0" w:type="auto"/>
            <w:shd w:val="clear" w:color="auto" w:fill="auto"/>
            <w:vAlign w:val="center"/>
          </w:tcPr>
          <w:p w14:paraId="726C0A2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74A4DC0C">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分3期建设；一期建设内容包括产业园管理与综合服务中心4000㎡，30000㎡玉米甜糯玉米加工、玉米面、玉米产品、烘干、加工中心。并对种植区域进行设施智能化、数字化提升支持。对测土配方平台、农药数字监管平台、农机安全监督管理信息系统、农产品质量安全追溯信息平台进行数字化提升。建立由政府端、消费端、供应端三方监管的食品安全监管云平台。二期建设主要扶持至少2000个规模30亩以上的大户，为其提供先进的设施温室技术、农业物联网技术、智能环控技术、水肥一体化技术支撑，栽培技术服务。三期建设主要围绕产业孵化、建设“临泉农产品+”创业共享办公基地，完善基础设施，提供创新创业咨询、企业注册指导、创业培训和投融资对接等服务。</w:t>
            </w:r>
          </w:p>
        </w:tc>
        <w:tc>
          <w:tcPr>
            <w:tcW w:w="876" w:type="dxa"/>
            <w:shd w:val="clear" w:color="auto" w:fill="auto"/>
            <w:vAlign w:val="center"/>
          </w:tcPr>
          <w:p w14:paraId="7CE9B70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528D1C1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捷佳润科技集团股份有限公司</w:t>
            </w:r>
          </w:p>
        </w:tc>
        <w:tc>
          <w:tcPr>
            <w:tcW w:w="0" w:type="auto"/>
            <w:shd w:val="clear" w:color="auto" w:fill="auto"/>
            <w:vAlign w:val="center"/>
          </w:tcPr>
          <w:p w14:paraId="7545FC1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临泉县农业农村局</w:t>
            </w:r>
          </w:p>
        </w:tc>
        <w:tc>
          <w:tcPr>
            <w:tcW w:w="0" w:type="auto"/>
            <w:shd w:val="clear" w:color="auto" w:fill="auto"/>
            <w:vAlign w:val="center"/>
          </w:tcPr>
          <w:p w14:paraId="5F5B0D5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1D537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0" w:type="auto"/>
            <w:shd w:val="clear" w:color="auto" w:fill="auto"/>
            <w:vAlign w:val="center"/>
          </w:tcPr>
          <w:p w14:paraId="724B589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w:t>
            </w:r>
          </w:p>
        </w:tc>
        <w:tc>
          <w:tcPr>
            <w:tcW w:w="0" w:type="auto"/>
            <w:shd w:val="clear" w:color="auto" w:fill="auto"/>
            <w:vAlign w:val="center"/>
          </w:tcPr>
          <w:p w14:paraId="37B3842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东方雨虹绿色建材生产基地</w:t>
            </w:r>
          </w:p>
        </w:tc>
        <w:tc>
          <w:tcPr>
            <w:tcW w:w="0" w:type="auto"/>
            <w:shd w:val="clear" w:color="auto" w:fill="auto"/>
            <w:vAlign w:val="center"/>
          </w:tcPr>
          <w:p w14:paraId="576645C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w:t>
            </w:r>
          </w:p>
        </w:tc>
        <w:tc>
          <w:tcPr>
            <w:tcW w:w="0" w:type="auto"/>
            <w:shd w:val="clear" w:color="auto" w:fill="auto"/>
            <w:vAlign w:val="center"/>
          </w:tcPr>
          <w:p w14:paraId="6A41945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1242411C">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占地约300亩。主要生产建筑防水、非织造布、民用建材、节能保温、建筑涂料、特种砂浆、建筑修缮、建筑粉料等绿色建筑新材料</w:t>
            </w:r>
          </w:p>
        </w:tc>
        <w:tc>
          <w:tcPr>
            <w:tcW w:w="876" w:type="dxa"/>
            <w:shd w:val="clear" w:color="auto" w:fill="auto"/>
            <w:vAlign w:val="center"/>
          </w:tcPr>
          <w:p w14:paraId="4C17EA3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w:t>
            </w:r>
          </w:p>
        </w:tc>
        <w:tc>
          <w:tcPr>
            <w:tcW w:w="1787" w:type="dxa"/>
            <w:shd w:val="clear" w:color="auto" w:fill="auto"/>
            <w:vAlign w:val="center"/>
          </w:tcPr>
          <w:p w14:paraId="7F927A6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北京东方雨虹有限公司</w:t>
            </w:r>
          </w:p>
        </w:tc>
        <w:tc>
          <w:tcPr>
            <w:tcW w:w="0" w:type="auto"/>
            <w:shd w:val="clear" w:color="auto" w:fill="auto"/>
            <w:vAlign w:val="center"/>
          </w:tcPr>
          <w:p w14:paraId="2C7F9DC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临泉经开区</w:t>
            </w:r>
          </w:p>
        </w:tc>
        <w:tc>
          <w:tcPr>
            <w:tcW w:w="0" w:type="auto"/>
            <w:shd w:val="clear" w:color="auto" w:fill="auto"/>
            <w:vAlign w:val="center"/>
          </w:tcPr>
          <w:p w14:paraId="6D2B30B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5DF8C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609D6FC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6</w:t>
            </w:r>
          </w:p>
        </w:tc>
        <w:tc>
          <w:tcPr>
            <w:tcW w:w="0" w:type="auto"/>
            <w:shd w:val="clear" w:color="auto" w:fill="auto"/>
            <w:vAlign w:val="center"/>
          </w:tcPr>
          <w:p w14:paraId="210500C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临泉县风电项目</w:t>
            </w:r>
          </w:p>
        </w:tc>
        <w:tc>
          <w:tcPr>
            <w:tcW w:w="0" w:type="auto"/>
            <w:shd w:val="clear" w:color="auto" w:fill="auto"/>
            <w:vAlign w:val="center"/>
          </w:tcPr>
          <w:p w14:paraId="41E3311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w:t>
            </w:r>
          </w:p>
        </w:tc>
        <w:tc>
          <w:tcPr>
            <w:tcW w:w="0" w:type="auto"/>
            <w:shd w:val="clear" w:color="auto" w:fill="auto"/>
            <w:vAlign w:val="center"/>
          </w:tcPr>
          <w:p w14:paraId="3BFF8AF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0938FEF5">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占地约260亩，一期占地约50亩。分四个阶段实施，每个阶段开发规模为15万千瓦</w:t>
            </w:r>
          </w:p>
        </w:tc>
        <w:tc>
          <w:tcPr>
            <w:tcW w:w="876" w:type="dxa"/>
            <w:shd w:val="clear" w:color="auto" w:fill="auto"/>
            <w:vAlign w:val="center"/>
          </w:tcPr>
          <w:p w14:paraId="4A5919D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48</w:t>
            </w:r>
          </w:p>
        </w:tc>
        <w:tc>
          <w:tcPr>
            <w:tcW w:w="1787" w:type="dxa"/>
            <w:shd w:val="clear" w:color="auto" w:fill="auto"/>
            <w:vAlign w:val="center"/>
          </w:tcPr>
          <w:p w14:paraId="57C2F50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三峡新能源（集团）股份有限公司新疆金风科技股份有限公司</w:t>
            </w:r>
          </w:p>
        </w:tc>
        <w:tc>
          <w:tcPr>
            <w:tcW w:w="0" w:type="auto"/>
            <w:shd w:val="clear" w:color="auto" w:fill="auto"/>
            <w:vAlign w:val="center"/>
          </w:tcPr>
          <w:p w14:paraId="0ED05B5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临泉县发改委</w:t>
            </w:r>
          </w:p>
        </w:tc>
        <w:tc>
          <w:tcPr>
            <w:tcW w:w="0" w:type="auto"/>
            <w:shd w:val="clear" w:color="auto" w:fill="auto"/>
            <w:vAlign w:val="center"/>
          </w:tcPr>
          <w:p w14:paraId="7115F3A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6F9FC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65" w:hRule="atLeast"/>
        </w:trPr>
        <w:tc>
          <w:tcPr>
            <w:tcW w:w="0" w:type="auto"/>
            <w:shd w:val="clear" w:color="auto" w:fill="auto"/>
            <w:vAlign w:val="center"/>
          </w:tcPr>
          <w:p w14:paraId="2CE2B2A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7</w:t>
            </w:r>
          </w:p>
        </w:tc>
        <w:tc>
          <w:tcPr>
            <w:tcW w:w="0" w:type="auto"/>
            <w:shd w:val="clear" w:color="auto" w:fill="auto"/>
            <w:vAlign w:val="center"/>
          </w:tcPr>
          <w:p w14:paraId="3820BFF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临泉碧根果食品产业园项目</w:t>
            </w:r>
          </w:p>
        </w:tc>
        <w:tc>
          <w:tcPr>
            <w:tcW w:w="0" w:type="auto"/>
            <w:shd w:val="clear" w:color="auto" w:fill="auto"/>
            <w:vAlign w:val="center"/>
          </w:tcPr>
          <w:p w14:paraId="66693F3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w:t>
            </w:r>
          </w:p>
        </w:tc>
        <w:tc>
          <w:tcPr>
            <w:tcW w:w="0" w:type="auto"/>
            <w:shd w:val="clear" w:color="auto" w:fill="auto"/>
            <w:vAlign w:val="center"/>
          </w:tcPr>
          <w:p w14:paraId="314310F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758CC55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总建筑面积约16.8万平方米，建设生产车间、仓储保鲜库、恒温库及综合办公等附属设施。主要生产碧根果植物蛋白饮料、优质碧根果仁、优质碧根果油、碧根果烘焙仁休闲食品及碧根果含壳休闲食品等</w:t>
            </w:r>
          </w:p>
        </w:tc>
        <w:tc>
          <w:tcPr>
            <w:tcW w:w="876" w:type="dxa"/>
            <w:shd w:val="clear" w:color="auto" w:fill="auto"/>
            <w:vAlign w:val="center"/>
          </w:tcPr>
          <w:p w14:paraId="6BFE0F7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16.2</w:t>
            </w:r>
          </w:p>
        </w:tc>
        <w:tc>
          <w:tcPr>
            <w:tcW w:w="1787" w:type="dxa"/>
            <w:shd w:val="clear" w:color="auto" w:fill="auto"/>
            <w:vAlign w:val="center"/>
          </w:tcPr>
          <w:p w14:paraId="256A650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临泉县四方红农业科技合伙企业（有限合伙）</w:t>
            </w:r>
          </w:p>
        </w:tc>
        <w:tc>
          <w:tcPr>
            <w:tcW w:w="0" w:type="auto"/>
            <w:shd w:val="clear" w:color="auto" w:fill="auto"/>
            <w:vAlign w:val="center"/>
          </w:tcPr>
          <w:p w14:paraId="37D06EF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临泉县经济开发区管委会</w:t>
            </w:r>
          </w:p>
        </w:tc>
        <w:tc>
          <w:tcPr>
            <w:tcW w:w="0" w:type="auto"/>
            <w:shd w:val="clear" w:color="auto" w:fill="auto"/>
            <w:vAlign w:val="center"/>
          </w:tcPr>
          <w:p w14:paraId="2D196CD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70C2D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7CA4D9E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8</w:t>
            </w:r>
          </w:p>
        </w:tc>
        <w:tc>
          <w:tcPr>
            <w:tcW w:w="0" w:type="auto"/>
            <w:shd w:val="clear" w:color="auto" w:fill="auto"/>
            <w:vAlign w:val="center"/>
          </w:tcPr>
          <w:p w14:paraId="2BC66EB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金属表面处理中心项目二期</w:t>
            </w:r>
          </w:p>
        </w:tc>
        <w:tc>
          <w:tcPr>
            <w:tcW w:w="0" w:type="auto"/>
            <w:shd w:val="clear" w:color="auto" w:fill="auto"/>
            <w:vAlign w:val="center"/>
          </w:tcPr>
          <w:p w14:paraId="71D0957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w:t>
            </w:r>
          </w:p>
        </w:tc>
        <w:tc>
          <w:tcPr>
            <w:tcW w:w="0" w:type="auto"/>
            <w:shd w:val="clear" w:color="auto" w:fill="auto"/>
            <w:vAlign w:val="center"/>
          </w:tcPr>
          <w:p w14:paraId="6F0DF4D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65F43552">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30.66万平方米，共44栋，建设表面处理车间及辅助用房等；购置污水处理设施、五金件镀锌自动化生产线、五金件镀铬自动化生产线、塑料电镀自动化生产线、电子元器件镀镍自动化生产线、阳极氧化自动化生产线等工艺先进的生产设备和辅助设施；配套建设道路、绿化等公用辅助设施。项目建成后，可形成年处理130万平方米PCB板表面、438万平方米五金件表面、30万平方米塑料表面的处理规模</w:t>
            </w:r>
          </w:p>
        </w:tc>
        <w:tc>
          <w:tcPr>
            <w:tcW w:w="876" w:type="dxa"/>
            <w:shd w:val="clear" w:color="auto" w:fill="auto"/>
            <w:vAlign w:val="center"/>
          </w:tcPr>
          <w:p w14:paraId="4BA47E2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w:t>
            </w:r>
          </w:p>
        </w:tc>
        <w:tc>
          <w:tcPr>
            <w:tcW w:w="1787" w:type="dxa"/>
            <w:shd w:val="clear" w:color="auto" w:fill="auto"/>
            <w:vAlign w:val="center"/>
          </w:tcPr>
          <w:p w14:paraId="6800211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临泉县经开区</w:t>
            </w:r>
          </w:p>
        </w:tc>
        <w:tc>
          <w:tcPr>
            <w:tcW w:w="0" w:type="auto"/>
            <w:shd w:val="clear" w:color="auto" w:fill="auto"/>
            <w:vAlign w:val="center"/>
          </w:tcPr>
          <w:p w14:paraId="58CEB1D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临泉县经开区</w:t>
            </w:r>
          </w:p>
        </w:tc>
        <w:tc>
          <w:tcPr>
            <w:tcW w:w="0" w:type="auto"/>
            <w:shd w:val="clear" w:color="auto" w:fill="auto"/>
            <w:vAlign w:val="center"/>
          </w:tcPr>
          <w:p w14:paraId="2D68916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696F0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4D5B3E8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9</w:t>
            </w:r>
          </w:p>
        </w:tc>
        <w:tc>
          <w:tcPr>
            <w:tcW w:w="0" w:type="auto"/>
            <w:shd w:val="clear" w:color="auto" w:fill="auto"/>
            <w:vAlign w:val="center"/>
          </w:tcPr>
          <w:p w14:paraId="55783B0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临泉佳海智能制造产业园项目</w:t>
            </w:r>
          </w:p>
        </w:tc>
        <w:tc>
          <w:tcPr>
            <w:tcW w:w="0" w:type="auto"/>
            <w:shd w:val="clear" w:color="auto" w:fill="auto"/>
            <w:vAlign w:val="center"/>
          </w:tcPr>
          <w:p w14:paraId="5934542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w:t>
            </w:r>
          </w:p>
        </w:tc>
        <w:tc>
          <w:tcPr>
            <w:tcW w:w="0" w:type="auto"/>
            <w:shd w:val="clear" w:color="auto" w:fill="auto"/>
            <w:vAlign w:val="center"/>
          </w:tcPr>
          <w:p w14:paraId="72091C9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07F67CE8">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一期供地115亩，规划建设高标准工业厂房40万方，引进智能制造、机械电子、都市消费等符合临泉产业规划的科技型、生产型实体企业约100家</w:t>
            </w:r>
          </w:p>
        </w:tc>
        <w:tc>
          <w:tcPr>
            <w:tcW w:w="876" w:type="dxa"/>
            <w:shd w:val="clear" w:color="auto" w:fill="auto"/>
            <w:vAlign w:val="center"/>
          </w:tcPr>
          <w:p w14:paraId="1BE3AB3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1A890D4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佳海产业发展集团股份有限公司</w:t>
            </w:r>
          </w:p>
        </w:tc>
        <w:tc>
          <w:tcPr>
            <w:tcW w:w="0" w:type="auto"/>
            <w:shd w:val="clear" w:color="auto" w:fill="auto"/>
            <w:vAlign w:val="center"/>
          </w:tcPr>
          <w:p w14:paraId="3D6CFF9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临泉县经开区</w:t>
            </w:r>
          </w:p>
        </w:tc>
        <w:tc>
          <w:tcPr>
            <w:tcW w:w="0" w:type="auto"/>
            <w:shd w:val="clear" w:color="auto" w:fill="auto"/>
            <w:vAlign w:val="center"/>
          </w:tcPr>
          <w:p w14:paraId="2ECFAA8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1EB72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5" w:hRule="atLeast"/>
        </w:trPr>
        <w:tc>
          <w:tcPr>
            <w:tcW w:w="0" w:type="auto"/>
            <w:shd w:val="clear" w:color="auto" w:fill="auto"/>
            <w:vAlign w:val="center"/>
          </w:tcPr>
          <w:p w14:paraId="1E52253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0" w:type="auto"/>
            <w:shd w:val="clear" w:color="auto" w:fill="auto"/>
            <w:vAlign w:val="center"/>
          </w:tcPr>
          <w:p w14:paraId="07A116A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“一区三园”基础设施建设项目</w:t>
            </w:r>
          </w:p>
        </w:tc>
        <w:tc>
          <w:tcPr>
            <w:tcW w:w="0" w:type="auto"/>
            <w:shd w:val="clear" w:color="auto" w:fill="auto"/>
            <w:vAlign w:val="center"/>
          </w:tcPr>
          <w:p w14:paraId="21C416C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w:t>
            </w:r>
          </w:p>
        </w:tc>
        <w:tc>
          <w:tcPr>
            <w:tcW w:w="0" w:type="auto"/>
            <w:shd w:val="clear" w:color="auto" w:fill="auto"/>
            <w:vAlign w:val="center"/>
          </w:tcPr>
          <w:p w14:paraId="253A18B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基础设施建设</w:t>
            </w:r>
          </w:p>
        </w:tc>
        <w:tc>
          <w:tcPr>
            <w:tcW w:w="0" w:type="auto"/>
            <w:shd w:val="clear" w:color="auto" w:fill="auto"/>
            <w:vAlign w:val="center"/>
          </w:tcPr>
          <w:p w14:paraId="6B2611F3">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经开区工业污水处理厂、标准厂房7.5万平方米，绿化提升、供电设施改造；杨桥食品产业园：建设标准厂房及施工宿舍楼占地约30.4亩，总建筑面积约41000㎡，配套兴业路、育才南路等道路及管网工程；鲖城皮革产业园：建设标准化厂房及施工宿舍楼占地约23亩，总建筑面积约31000㎡，配套鲖西路北延，裕民路，裕兴路，裕鲖路，骆王路，振兴西路扩建等道路及管网工程；宋集轻纺产业园：建设标准化厂房及施工宿舍楼占地约65亩，总建筑约面积约87000㎡，配套纬二路、纬三路、纬五路、经一路、经二路、经三路、宋富路等基础设施。</w:t>
            </w:r>
          </w:p>
        </w:tc>
        <w:tc>
          <w:tcPr>
            <w:tcW w:w="876" w:type="dxa"/>
            <w:shd w:val="clear" w:color="auto" w:fill="auto"/>
            <w:vAlign w:val="center"/>
          </w:tcPr>
          <w:p w14:paraId="416CB16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12.1</w:t>
            </w:r>
          </w:p>
        </w:tc>
        <w:tc>
          <w:tcPr>
            <w:tcW w:w="1787" w:type="dxa"/>
            <w:shd w:val="clear" w:color="auto" w:fill="auto"/>
            <w:vAlign w:val="center"/>
          </w:tcPr>
          <w:p w14:paraId="789453C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临泉县经开区</w:t>
            </w:r>
          </w:p>
        </w:tc>
        <w:tc>
          <w:tcPr>
            <w:tcW w:w="0" w:type="auto"/>
            <w:shd w:val="clear" w:color="auto" w:fill="auto"/>
            <w:vAlign w:val="center"/>
          </w:tcPr>
          <w:p w14:paraId="7992D64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临泉县经济开发区管委会</w:t>
            </w:r>
          </w:p>
        </w:tc>
        <w:tc>
          <w:tcPr>
            <w:tcW w:w="0" w:type="auto"/>
            <w:shd w:val="clear" w:color="auto" w:fill="auto"/>
            <w:vAlign w:val="center"/>
          </w:tcPr>
          <w:p w14:paraId="4945593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6C39A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2" w:hRule="atLeast"/>
        </w:trPr>
        <w:tc>
          <w:tcPr>
            <w:tcW w:w="0" w:type="auto"/>
            <w:shd w:val="clear" w:color="auto" w:fill="auto"/>
            <w:vAlign w:val="center"/>
          </w:tcPr>
          <w:p w14:paraId="570A425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11</w:t>
            </w:r>
          </w:p>
        </w:tc>
        <w:tc>
          <w:tcPr>
            <w:tcW w:w="0" w:type="auto"/>
            <w:shd w:val="clear" w:color="auto" w:fill="auto"/>
            <w:vAlign w:val="center"/>
          </w:tcPr>
          <w:p w14:paraId="2ED7B33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生产手术铺单、手术衣、隔离衣项目</w:t>
            </w:r>
          </w:p>
        </w:tc>
        <w:tc>
          <w:tcPr>
            <w:tcW w:w="0" w:type="auto"/>
            <w:shd w:val="clear" w:color="auto" w:fill="auto"/>
            <w:vAlign w:val="center"/>
          </w:tcPr>
          <w:p w14:paraId="7370BD8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w:t>
            </w:r>
          </w:p>
        </w:tc>
        <w:tc>
          <w:tcPr>
            <w:tcW w:w="0" w:type="auto"/>
            <w:shd w:val="clear" w:color="auto" w:fill="auto"/>
            <w:vAlign w:val="center"/>
          </w:tcPr>
          <w:p w14:paraId="66A8F76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7C6E2202">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计划征地100亩，主要建设内容有：工业厂房、职工宿舍楼、行政办公楼等配套设施。</w:t>
            </w:r>
          </w:p>
        </w:tc>
        <w:tc>
          <w:tcPr>
            <w:tcW w:w="876" w:type="dxa"/>
            <w:shd w:val="clear" w:color="auto" w:fill="auto"/>
            <w:vAlign w:val="center"/>
          </w:tcPr>
          <w:p w14:paraId="30E85B2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w:t>
            </w:r>
          </w:p>
        </w:tc>
        <w:tc>
          <w:tcPr>
            <w:tcW w:w="1787" w:type="dxa"/>
            <w:shd w:val="clear" w:color="auto" w:fill="auto"/>
            <w:vAlign w:val="center"/>
          </w:tcPr>
          <w:p w14:paraId="572E172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苏州美迪凯尔国际贸易有限公司（爱舍伦）</w:t>
            </w:r>
          </w:p>
        </w:tc>
        <w:tc>
          <w:tcPr>
            <w:tcW w:w="0" w:type="auto"/>
            <w:shd w:val="clear" w:color="auto" w:fill="auto"/>
            <w:vAlign w:val="center"/>
          </w:tcPr>
          <w:p w14:paraId="293D642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临泉县经济开发区管委会</w:t>
            </w:r>
          </w:p>
        </w:tc>
        <w:tc>
          <w:tcPr>
            <w:tcW w:w="0" w:type="auto"/>
            <w:shd w:val="clear" w:color="auto" w:fill="auto"/>
            <w:vAlign w:val="center"/>
          </w:tcPr>
          <w:p w14:paraId="6AB381D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3D480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5146E1D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w:t>
            </w:r>
          </w:p>
        </w:tc>
        <w:tc>
          <w:tcPr>
            <w:tcW w:w="0" w:type="auto"/>
            <w:shd w:val="clear" w:color="auto" w:fill="auto"/>
            <w:vAlign w:val="center"/>
          </w:tcPr>
          <w:p w14:paraId="78F2E08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北新临泉智能装配式建筑新材料产业园</w:t>
            </w:r>
          </w:p>
        </w:tc>
        <w:tc>
          <w:tcPr>
            <w:tcW w:w="0" w:type="auto"/>
            <w:shd w:val="clear" w:color="auto" w:fill="auto"/>
            <w:vAlign w:val="center"/>
          </w:tcPr>
          <w:p w14:paraId="610480C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w:t>
            </w:r>
          </w:p>
        </w:tc>
        <w:tc>
          <w:tcPr>
            <w:tcW w:w="0" w:type="auto"/>
            <w:shd w:val="clear" w:color="auto" w:fill="auto"/>
            <w:vAlign w:val="center"/>
          </w:tcPr>
          <w:p w14:paraId="688CD52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7B9DBD96">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建设北新设计研发中心、新材料项目展示区、新材料工程示范区和配套部品部件项目等。年产40万平方米的FK轻型外围护系统生产线、年产1000套低层装配式农房生产线等</w:t>
            </w:r>
          </w:p>
        </w:tc>
        <w:tc>
          <w:tcPr>
            <w:tcW w:w="876" w:type="dxa"/>
            <w:shd w:val="clear" w:color="auto" w:fill="auto"/>
            <w:vAlign w:val="center"/>
          </w:tcPr>
          <w:p w14:paraId="768CAB9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46.25</w:t>
            </w:r>
          </w:p>
        </w:tc>
        <w:tc>
          <w:tcPr>
            <w:tcW w:w="1787" w:type="dxa"/>
            <w:shd w:val="clear" w:color="auto" w:fill="auto"/>
            <w:vAlign w:val="center"/>
          </w:tcPr>
          <w:p w14:paraId="1004B35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安徽锦赛建筑科技有限公司</w:t>
            </w:r>
          </w:p>
        </w:tc>
        <w:tc>
          <w:tcPr>
            <w:tcW w:w="0" w:type="auto"/>
            <w:shd w:val="clear" w:color="auto" w:fill="auto"/>
            <w:vAlign w:val="center"/>
          </w:tcPr>
          <w:p w14:paraId="35B27F2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临泉县经济开发区管委会</w:t>
            </w:r>
          </w:p>
        </w:tc>
        <w:tc>
          <w:tcPr>
            <w:tcW w:w="0" w:type="auto"/>
            <w:shd w:val="clear" w:color="auto" w:fill="auto"/>
            <w:vAlign w:val="center"/>
          </w:tcPr>
          <w:p w14:paraId="5D06521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30A2B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0" w:type="auto"/>
            <w:shd w:val="clear" w:color="auto" w:fill="auto"/>
            <w:vAlign w:val="center"/>
          </w:tcPr>
          <w:p w14:paraId="3C54C42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13</w:t>
            </w:r>
          </w:p>
        </w:tc>
        <w:tc>
          <w:tcPr>
            <w:tcW w:w="0" w:type="auto"/>
            <w:shd w:val="clear" w:color="auto" w:fill="auto"/>
            <w:vAlign w:val="center"/>
          </w:tcPr>
          <w:p w14:paraId="5E6B44F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公牛电缆建设项目</w:t>
            </w:r>
          </w:p>
        </w:tc>
        <w:tc>
          <w:tcPr>
            <w:tcW w:w="0" w:type="auto"/>
            <w:shd w:val="clear" w:color="auto" w:fill="auto"/>
            <w:vAlign w:val="center"/>
          </w:tcPr>
          <w:p w14:paraId="0D86E04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w:t>
            </w:r>
          </w:p>
        </w:tc>
        <w:tc>
          <w:tcPr>
            <w:tcW w:w="0" w:type="auto"/>
            <w:shd w:val="clear" w:color="auto" w:fill="auto"/>
            <w:vAlign w:val="center"/>
          </w:tcPr>
          <w:p w14:paraId="54D046D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58117A85">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与河北省邯郸市大名县公牛电缆有限公司合作，主要建设电力电缆、电器装备用线、信号输送电缆生产项目</w:t>
            </w:r>
          </w:p>
        </w:tc>
        <w:tc>
          <w:tcPr>
            <w:tcW w:w="876" w:type="dxa"/>
            <w:shd w:val="clear" w:color="auto" w:fill="auto"/>
            <w:vAlign w:val="center"/>
          </w:tcPr>
          <w:p w14:paraId="1BB99A3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431AC52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大名县公牛电缆有限公司</w:t>
            </w:r>
          </w:p>
        </w:tc>
        <w:tc>
          <w:tcPr>
            <w:tcW w:w="0" w:type="auto"/>
            <w:shd w:val="clear" w:color="auto" w:fill="auto"/>
            <w:vAlign w:val="center"/>
          </w:tcPr>
          <w:p w14:paraId="6787CCC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临泉县经开区</w:t>
            </w:r>
          </w:p>
        </w:tc>
        <w:tc>
          <w:tcPr>
            <w:tcW w:w="0" w:type="auto"/>
            <w:shd w:val="clear" w:color="auto" w:fill="auto"/>
            <w:vAlign w:val="center"/>
          </w:tcPr>
          <w:p w14:paraId="3F97785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2B599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5B77DB6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14</w:t>
            </w:r>
          </w:p>
        </w:tc>
        <w:tc>
          <w:tcPr>
            <w:tcW w:w="0" w:type="auto"/>
            <w:shd w:val="clear" w:color="auto" w:fill="auto"/>
            <w:vAlign w:val="center"/>
          </w:tcPr>
          <w:p w14:paraId="2AB0EF0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天然气管道安装与供气项目</w:t>
            </w:r>
          </w:p>
        </w:tc>
        <w:tc>
          <w:tcPr>
            <w:tcW w:w="0" w:type="auto"/>
            <w:shd w:val="clear" w:color="auto" w:fill="auto"/>
            <w:vAlign w:val="center"/>
          </w:tcPr>
          <w:p w14:paraId="39B8106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w:t>
            </w:r>
          </w:p>
        </w:tc>
        <w:tc>
          <w:tcPr>
            <w:tcW w:w="0" w:type="auto"/>
            <w:shd w:val="clear" w:color="auto" w:fill="auto"/>
            <w:vAlign w:val="center"/>
          </w:tcPr>
          <w:p w14:paraId="7A5C6E2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基础设施</w:t>
            </w:r>
          </w:p>
        </w:tc>
        <w:tc>
          <w:tcPr>
            <w:tcW w:w="0" w:type="auto"/>
            <w:shd w:val="clear" w:color="auto" w:fill="auto"/>
            <w:vAlign w:val="center"/>
          </w:tcPr>
          <w:p w14:paraId="3BDD2E1A">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天然气门站和储配站，新建中压管网166公里， CNG加气站3个（门站加气站、城南加气站和城西加气站）</w:t>
            </w:r>
          </w:p>
        </w:tc>
        <w:tc>
          <w:tcPr>
            <w:tcW w:w="876" w:type="dxa"/>
            <w:shd w:val="clear" w:color="auto" w:fill="auto"/>
            <w:vAlign w:val="center"/>
          </w:tcPr>
          <w:p w14:paraId="4112931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w:t>
            </w:r>
          </w:p>
        </w:tc>
        <w:tc>
          <w:tcPr>
            <w:tcW w:w="1787" w:type="dxa"/>
            <w:shd w:val="clear" w:color="auto" w:fill="auto"/>
            <w:vAlign w:val="center"/>
          </w:tcPr>
          <w:p w14:paraId="6FA8790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临泉国祯燃气有限公司</w:t>
            </w:r>
          </w:p>
        </w:tc>
        <w:tc>
          <w:tcPr>
            <w:tcW w:w="0" w:type="auto"/>
            <w:shd w:val="clear" w:color="auto" w:fill="auto"/>
            <w:vAlign w:val="center"/>
          </w:tcPr>
          <w:p w14:paraId="75A3F98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临泉县经济开发区管委会</w:t>
            </w:r>
          </w:p>
        </w:tc>
        <w:tc>
          <w:tcPr>
            <w:tcW w:w="0" w:type="auto"/>
            <w:shd w:val="clear" w:color="auto" w:fill="auto"/>
            <w:vAlign w:val="center"/>
          </w:tcPr>
          <w:p w14:paraId="1BDE958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672BB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0" w:type="auto"/>
            <w:shd w:val="clear" w:color="auto" w:fill="auto"/>
            <w:vAlign w:val="center"/>
          </w:tcPr>
          <w:p w14:paraId="2494CF6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w:t>
            </w:r>
          </w:p>
        </w:tc>
        <w:tc>
          <w:tcPr>
            <w:tcW w:w="0" w:type="auto"/>
            <w:shd w:val="clear" w:color="auto" w:fill="auto"/>
            <w:vAlign w:val="center"/>
          </w:tcPr>
          <w:p w14:paraId="3C74B99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台州机电产业园</w:t>
            </w:r>
          </w:p>
        </w:tc>
        <w:tc>
          <w:tcPr>
            <w:tcW w:w="0" w:type="auto"/>
            <w:shd w:val="clear" w:color="auto" w:fill="auto"/>
            <w:vAlign w:val="center"/>
          </w:tcPr>
          <w:p w14:paraId="243CCA3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w:t>
            </w:r>
          </w:p>
        </w:tc>
        <w:tc>
          <w:tcPr>
            <w:tcW w:w="0" w:type="auto"/>
            <w:shd w:val="clear" w:color="auto" w:fill="auto"/>
            <w:vAlign w:val="center"/>
          </w:tcPr>
          <w:p w14:paraId="4D97A1E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6CC0CFBB">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与台州市对接洽谈，建设临泉县台州机电产业园</w:t>
            </w:r>
          </w:p>
        </w:tc>
        <w:tc>
          <w:tcPr>
            <w:tcW w:w="876" w:type="dxa"/>
            <w:shd w:val="clear" w:color="auto" w:fill="auto"/>
            <w:vAlign w:val="center"/>
          </w:tcPr>
          <w:p w14:paraId="72E9934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w:t>
            </w:r>
          </w:p>
        </w:tc>
        <w:tc>
          <w:tcPr>
            <w:tcW w:w="1787" w:type="dxa"/>
            <w:shd w:val="clear" w:color="auto" w:fill="auto"/>
            <w:vAlign w:val="center"/>
          </w:tcPr>
          <w:p w14:paraId="13CE80D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台州市顺康精密机械有限公司</w:t>
            </w:r>
          </w:p>
        </w:tc>
        <w:tc>
          <w:tcPr>
            <w:tcW w:w="0" w:type="auto"/>
            <w:shd w:val="clear" w:color="auto" w:fill="auto"/>
            <w:vAlign w:val="center"/>
          </w:tcPr>
          <w:p w14:paraId="7B57131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临泉县经济开发区管委会</w:t>
            </w:r>
          </w:p>
        </w:tc>
        <w:tc>
          <w:tcPr>
            <w:tcW w:w="0" w:type="auto"/>
            <w:shd w:val="clear" w:color="auto" w:fill="auto"/>
            <w:vAlign w:val="center"/>
          </w:tcPr>
          <w:p w14:paraId="65FCAD7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3FA1E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0" w:type="auto"/>
            <w:shd w:val="clear" w:color="auto" w:fill="auto"/>
            <w:vAlign w:val="center"/>
          </w:tcPr>
          <w:p w14:paraId="1147CF0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16</w:t>
            </w:r>
          </w:p>
        </w:tc>
        <w:tc>
          <w:tcPr>
            <w:tcW w:w="0" w:type="auto"/>
            <w:shd w:val="clear" w:color="auto" w:fill="auto"/>
            <w:vAlign w:val="center"/>
          </w:tcPr>
          <w:p w14:paraId="314F8AD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临泉县生姜加工产业园</w:t>
            </w:r>
          </w:p>
        </w:tc>
        <w:tc>
          <w:tcPr>
            <w:tcW w:w="0" w:type="auto"/>
            <w:shd w:val="clear" w:color="auto" w:fill="auto"/>
            <w:vAlign w:val="center"/>
          </w:tcPr>
          <w:p w14:paraId="37F81EA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w:t>
            </w:r>
          </w:p>
        </w:tc>
        <w:tc>
          <w:tcPr>
            <w:tcW w:w="0" w:type="auto"/>
            <w:shd w:val="clear" w:color="auto" w:fill="auto"/>
            <w:vAlign w:val="center"/>
          </w:tcPr>
          <w:p w14:paraId="3DB1193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61D118F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需建设用地300亩，生姜种植与深加工，建设生产车间、仓库。</w:t>
            </w:r>
          </w:p>
        </w:tc>
        <w:tc>
          <w:tcPr>
            <w:tcW w:w="876" w:type="dxa"/>
            <w:shd w:val="clear" w:color="auto" w:fill="auto"/>
            <w:vAlign w:val="center"/>
          </w:tcPr>
          <w:p w14:paraId="7C843A9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35</w:t>
            </w:r>
          </w:p>
        </w:tc>
        <w:tc>
          <w:tcPr>
            <w:tcW w:w="1787" w:type="dxa"/>
            <w:shd w:val="clear" w:color="auto" w:fill="auto"/>
            <w:vAlign w:val="center"/>
          </w:tcPr>
          <w:p w14:paraId="04426BE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临泉县农业农村局</w:t>
            </w:r>
          </w:p>
        </w:tc>
        <w:tc>
          <w:tcPr>
            <w:tcW w:w="0" w:type="auto"/>
            <w:shd w:val="clear" w:color="auto" w:fill="auto"/>
            <w:vAlign w:val="center"/>
          </w:tcPr>
          <w:p w14:paraId="33CA2CB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临泉县乡村振兴局</w:t>
            </w:r>
          </w:p>
        </w:tc>
        <w:tc>
          <w:tcPr>
            <w:tcW w:w="0" w:type="auto"/>
            <w:shd w:val="clear" w:color="auto" w:fill="auto"/>
            <w:vAlign w:val="center"/>
          </w:tcPr>
          <w:p w14:paraId="7AC529C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51302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3C8BA79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17</w:t>
            </w:r>
          </w:p>
        </w:tc>
        <w:tc>
          <w:tcPr>
            <w:tcW w:w="0" w:type="auto"/>
            <w:shd w:val="clear" w:color="auto" w:fill="auto"/>
            <w:vAlign w:val="center"/>
          </w:tcPr>
          <w:p w14:paraId="58E967F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晋煤中能化工集团搬迁项目</w:t>
            </w:r>
          </w:p>
        </w:tc>
        <w:tc>
          <w:tcPr>
            <w:tcW w:w="0" w:type="auto"/>
            <w:shd w:val="clear" w:color="auto" w:fill="auto"/>
            <w:vAlign w:val="center"/>
          </w:tcPr>
          <w:p w14:paraId="0EB29C5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w:t>
            </w:r>
          </w:p>
        </w:tc>
        <w:tc>
          <w:tcPr>
            <w:tcW w:w="0" w:type="auto"/>
            <w:shd w:val="clear" w:color="auto" w:fill="auto"/>
            <w:vAlign w:val="center"/>
          </w:tcPr>
          <w:p w14:paraId="6C7225E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63B3B466">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项目建设用地约3000亩，该项目包含年产180万吨尿素、60万吨合成氨、150万吨氨醇、40万吨甲醇、60万吨双氧水、25万吨复合肥生产能力的综合煤化工产业的搬迁改造</w:t>
            </w:r>
          </w:p>
        </w:tc>
        <w:tc>
          <w:tcPr>
            <w:tcW w:w="876" w:type="dxa"/>
            <w:shd w:val="clear" w:color="auto" w:fill="auto"/>
            <w:vAlign w:val="center"/>
          </w:tcPr>
          <w:p w14:paraId="015ACC1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30</w:t>
            </w:r>
          </w:p>
        </w:tc>
        <w:tc>
          <w:tcPr>
            <w:tcW w:w="1787" w:type="dxa"/>
            <w:shd w:val="clear" w:color="auto" w:fill="auto"/>
            <w:vAlign w:val="center"/>
          </w:tcPr>
          <w:p w14:paraId="095EB9C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安徽晋煤中能化工股份有限公司</w:t>
            </w:r>
          </w:p>
        </w:tc>
        <w:tc>
          <w:tcPr>
            <w:tcW w:w="0" w:type="auto"/>
            <w:shd w:val="clear" w:color="auto" w:fill="auto"/>
            <w:vAlign w:val="center"/>
          </w:tcPr>
          <w:p w14:paraId="3E9B59E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临泉县经信局</w:t>
            </w:r>
          </w:p>
        </w:tc>
        <w:tc>
          <w:tcPr>
            <w:tcW w:w="0" w:type="auto"/>
            <w:shd w:val="clear" w:color="auto" w:fill="auto"/>
            <w:vAlign w:val="center"/>
          </w:tcPr>
          <w:p w14:paraId="14942E8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37B66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120EBAE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18</w:t>
            </w:r>
          </w:p>
        </w:tc>
        <w:tc>
          <w:tcPr>
            <w:tcW w:w="0" w:type="auto"/>
            <w:shd w:val="clear" w:color="auto" w:fill="auto"/>
            <w:vAlign w:val="center"/>
          </w:tcPr>
          <w:p w14:paraId="5B02D15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临泉县溧阳现代产业园</w:t>
            </w:r>
          </w:p>
        </w:tc>
        <w:tc>
          <w:tcPr>
            <w:tcW w:w="0" w:type="auto"/>
            <w:shd w:val="clear" w:color="auto" w:fill="auto"/>
            <w:vAlign w:val="center"/>
          </w:tcPr>
          <w:p w14:paraId="23FBE31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w:t>
            </w:r>
          </w:p>
        </w:tc>
        <w:tc>
          <w:tcPr>
            <w:tcW w:w="0" w:type="auto"/>
            <w:shd w:val="clear" w:color="auto" w:fill="auto"/>
            <w:vAlign w:val="center"/>
          </w:tcPr>
          <w:p w14:paraId="57D3591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0A1C1AD3">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拟供地1000亩左右，建设溧阳现代产业园，承接溧阳市产业转移，建设年产值20亿高端宠物食品生产项目等工业项目，建设高等职业技术学院等，并配套建设基础实施。</w:t>
            </w:r>
          </w:p>
        </w:tc>
        <w:tc>
          <w:tcPr>
            <w:tcW w:w="876" w:type="dxa"/>
            <w:shd w:val="clear" w:color="auto" w:fill="auto"/>
            <w:vAlign w:val="center"/>
          </w:tcPr>
          <w:p w14:paraId="6B81DBD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50</w:t>
            </w:r>
          </w:p>
        </w:tc>
        <w:tc>
          <w:tcPr>
            <w:tcW w:w="1787" w:type="dxa"/>
            <w:shd w:val="clear" w:color="auto" w:fill="auto"/>
            <w:vAlign w:val="center"/>
          </w:tcPr>
          <w:p w14:paraId="376F25A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临泉县经开区管委会</w:t>
            </w:r>
          </w:p>
        </w:tc>
        <w:tc>
          <w:tcPr>
            <w:tcW w:w="0" w:type="auto"/>
            <w:shd w:val="clear" w:color="auto" w:fill="auto"/>
            <w:vAlign w:val="center"/>
          </w:tcPr>
          <w:p w14:paraId="607E276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临泉县经开区管委会</w:t>
            </w:r>
          </w:p>
        </w:tc>
        <w:tc>
          <w:tcPr>
            <w:tcW w:w="0" w:type="auto"/>
            <w:shd w:val="clear" w:color="auto" w:fill="auto"/>
            <w:vAlign w:val="center"/>
          </w:tcPr>
          <w:p w14:paraId="60EC959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35F09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0" w:type="auto"/>
            <w:gridSpan w:val="9"/>
            <w:shd w:val="clear" w:color="auto" w:fill="auto"/>
            <w:vAlign w:val="center"/>
          </w:tcPr>
          <w:p w14:paraId="1B78E8F2">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太和县20个，总投资494.52亿元</w:t>
            </w:r>
          </w:p>
        </w:tc>
      </w:tr>
      <w:tr w14:paraId="24B01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trPr>
        <w:tc>
          <w:tcPr>
            <w:tcW w:w="0" w:type="auto"/>
            <w:shd w:val="clear" w:color="auto" w:fill="auto"/>
            <w:vAlign w:val="center"/>
          </w:tcPr>
          <w:p w14:paraId="7A0A1F5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w:t>
            </w:r>
          </w:p>
        </w:tc>
        <w:tc>
          <w:tcPr>
            <w:tcW w:w="0" w:type="auto"/>
            <w:shd w:val="clear" w:color="auto" w:fill="auto"/>
            <w:vAlign w:val="center"/>
          </w:tcPr>
          <w:p w14:paraId="6F1BF6E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治疗乙肝、艾滋病、结核病药物制剂项目</w:t>
            </w:r>
          </w:p>
        </w:tc>
        <w:tc>
          <w:tcPr>
            <w:tcW w:w="0" w:type="auto"/>
            <w:shd w:val="clear" w:color="auto" w:fill="auto"/>
            <w:vAlign w:val="center"/>
          </w:tcPr>
          <w:p w14:paraId="63D0178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w:t>
            </w:r>
          </w:p>
        </w:tc>
        <w:tc>
          <w:tcPr>
            <w:tcW w:w="0" w:type="auto"/>
            <w:shd w:val="clear" w:color="auto" w:fill="auto"/>
            <w:vAlign w:val="center"/>
          </w:tcPr>
          <w:p w14:paraId="0EC89CE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351BE910">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为18.61万平方米，建设生产车间、仓库、动力车间控制室、检测、研发及办公用房，购置高效湿法制粒机、多项运动混合机、气相色谱仪、高效包衣机等一批先进生产、检测仪器设备，形成年产30亿粒乙肝、艾滋病、结核病药物制剂的生产能力</w:t>
            </w:r>
          </w:p>
        </w:tc>
        <w:tc>
          <w:tcPr>
            <w:tcW w:w="876" w:type="dxa"/>
            <w:shd w:val="clear" w:color="auto" w:fill="auto"/>
            <w:vAlign w:val="center"/>
          </w:tcPr>
          <w:p w14:paraId="6485F97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11.6</w:t>
            </w:r>
          </w:p>
        </w:tc>
        <w:tc>
          <w:tcPr>
            <w:tcW w:w="1787" w:type="dxa"/>
            <w:shd w:val="clear" w:color="auto" w:fill="auto"/>
            <w:vAlign w:val="center"/>
          </w:tcPr>
          <w:p w14:paraId="0AD979B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安徽贝克联合制药有限公司</w:t>
            </w:r>
          </w:p>
        </w:tc>
        <w:tc>
          <w:tcPr>
            <w:tcW w:w="0" w:type="auto"/>
            <w:shd w:val="clear" w:color="auto" w:fill="auto"/>
            <w:vAlign w:val="center"/>
          </w:tcPr>
          <w:p w14:paraId="783739B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太和经济开发区管委会</w:t>
            </w:r>
          </w:p>
        </w:tc>
        <w:tc>
          <w:tcPr>
            <w:tcW w:w="0" w:type="auto"/>
            <w:shd w:val="clear" w:color="auto" w:fill="auto"/>
            <w:vAlign w:val="center"/>
          </w:tcPr>
          <w:p w14:paraId="63B599B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170C1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35" w:hRule="atLeast"/>
        </w:trPr>
        <w:tc>
          <w:tcPr>
            <w:tcW w:w="0" w:type="auto"/>
            <w:shd w:val="clear" w:color="auto" w:fill="auto"/>
            <w:vAlign w:val="center"/>
          </w:tcPr>
          <w:p w14:paraId="5B57CDE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w:t>
            </w:r>
          </w:p>
        </w:tc>
        <w:tc>
          <w:tcPr>
            <w:tcW w:w="0" w:type="auto"/>
            <w:shd w:val="clear" w:color="auto" w:fill="auto"/>
            <w:vAlign w:val="center"/>
          </w:tcPr>
          <w:p w14:paraId="787579A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安徽硕佰制药有限公司创新药产业化平台</w:t>
            </w:r>
          </w:p>
        </w:tc>
        <w:tc>
          <w:tcPr>
            <w:tcW w:w="0" w:type="auto"/>
            <w:shd w:val="clear" w:color="auto" w:fill="auto"/>
            <w:vAlign w:val="center"/>
          </w:tcPr>
          <w:p w14:paraId="195FA1E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w:t>
            </w:r>
          </w:p>
        </w:tc>
        <w:tc>
          <w:tcPr>
            <w:tcW w:w="0" w:type="auto"/>
            <w:shd w:val="clear" w:color="auto" w:fill="auto"/>
            <w:vAlign w:val="center"/>
          </w:tcPr>
          <w:p w14:paraId="5E6A36F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6C92EFD8">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9.96万平方米，新建生产技术中心、生产厂房、动力站、污水处理站、危险品库、门卫等，并配套建设绿化、环保、消防、供配电、给排水等附属工程，形成年产吸入气雾剂500万瓶，鼻喷雾剂400万瓶，粉吸入剂1000万粒，冻干粉针剂500万支、雾化吸入溶液剂1000万瓶的生产能力</w:t>
            </w:r>
          </w:p>
        </w:tc>
        <w:tc>
          <w:tcPr>
            <w:tcW w:w="876" w:type="dxa"/>
            <w:shd w:val="clear" w:color="auto" w:fill="auto"/>
            <w:vAlign w:val="center"/>
          </w:tcPr>
          <w:p w14:paraId="471072F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10.6</w:t>
            </w:r>
          </w:p>
        </w:tc>
        <w:tc>
          <w:tcPr>
            <w:tcW w:w="1787" w:type="dxa"/>
            <w:shd w:val="clear" w:color="auto" w:fill="auto"/>
            <w:vAlign w:val="center"/>
          </w:tcPr>
          <w:p w14:paraId="07D00E2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安徽硕佰制药有限公司</w:t>
            </w:r>
          </w:p>
        </w:tc>
        <w:tc>
          <w:tcPr>
            <w:tcW w:w="0" w:type="auto"/>
            <w:shd w:val="clear" w:color="auto" w:fill="auto"/>
            <w:vAlign w:val="center"/>
          </w:tcPr>
          <w:p w14:paraId="72F93C7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太和经济开发区管委会</w:t>
            </w:r>
          </w:p>
        </w:tc>
        <w:tc>
          <w:tcPr>
            <w:tcW w:w="0" w:type="auto"/>
            <w:shd w:val="clear" w:color="auto" w:fill="auto"/>
            <w:vAlign w:val="center"/>
          </w:tcPr>
          <w:p w14:paraId="4C7E065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1E2A3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0" w:type="auto"/>
            <w:shd w:val="clear" w:color="auto" w:fill="auto"/>
            <w:vAlign w:val="center"/>
          </w:tcPr>
          <w:p w14:paraId="1B6691C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w:t>
            </w:r>
          </w:p>
        </w:tc>
        <w:tc>
          <w:tcPr>
            <w:tcW w:w="0" w:type="auto"/>
            <w:shd w:val="clear" w:color="auto" w:fill="auto"/>
            <w:vAlign w:val="center"/>
          </w:tcPr>
          <w:p w14:paraId="3FFF139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锂离子电池综合回收利用项目</w:t>
            </w:r>
          </w:p>
        </w:tc>
        <w:tc>
          <w:tcPr>
            <w:tcW w:w="0" w:type="auto"/>
            <w:shd w:val="clear" w:color="auto" w:fill="auto"/>
            <w:vAlign w:val="center"/>
          </w:tcPr>
          <w:p w14:paraId="5ED2BBA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w:t>
            </w:r>
          </w:p>
        </w:tc>
        <w:tc>
          <w:tcPr>
            <w:tcW w:w="0" w:type="auto"/>
            <w:shd w:val="clear" w:color="auto" w:fill="auto"/>
            <w:vAlign w:val="center"/>
          </w:tcPr>
          <w:p w14:paraId="257C117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0E217C5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总建筑面积约2.68万平方米，购置废旧锂电池回收生产线2条、萃取生产线1条，配套建设安全、环保、给排水、污水处理、供配电、绿化、道路硬化等辅助设施</w:t>
            </w:r>
          </w:p>
        </w:tc>
        <w:tc>
          <w:tcPr>
            <w:tcW w:w="876" w:type="dxa"/>
            <w:shd w:val="clear" w:color="auto" w:fill="auto"/>
            <w:vAlign w:val="center"/>
          </w:tcPr>
          <w:p w14:paraId="7C40CCF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w:t>
            </w:r>
          </w:p>
        </w:tc>
        <w:tc>
          <w:tcPr>
            <w:tcW w:w="1787" w:type="dxa"/>
            <w:shd w:val="clear" w:color="auto" w:fill="auto"/>
            <w:vAlign w:val="center"/>
          </w:tcPr>
          <w:p w14:paraId="62A4CEA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安徽德乾新能源科技有限公司</w:t>
            </w:r>
          </w:p>
        </w:tc>
        <w:tc>
          <w:tcPr>
            <w:tcW w:w="0" w:type="auto"/>
            <w:shd w:val="clear" w:color="auto" w:fill="auto"/>
            <w:vAlign w:val="center"/>
          </w:tcPr>
          <w:p w14:paraId="41D0B49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太和县肖口镇政府</w:t>
            </w:r>
          </w:p>
        </w:tc>
        <w:tc>
          <w:tcPr>
            <w:tcW w:w="0" w:type="auto"/>
            <w:shd w:val="clear" w:color="auto" w:fill="auto"/>
            <w:vAlign w:val="center"/>
          </w:tcPr>
          <w:p w14:paraId="5C5EB50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6469D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05" w:hRule="atLeast"/>
        </w:trPr>
        <w:tc>
          <w:tcPr>
            <w:tcW w:w="0" w:type="auto"/>
            <w:shd w:val="clear" w:color="auto" w:fill="auto"/>
            <w:vAlign w:val="center"/>
          </w:tcPr>
          <w:p w14:paraId="7C12805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4</w:t>
            </w:r>
          </w:p>
        </w:tc>
        <w:tc>
          <w:tcPr>
            <w:tcW w:w="0" w:type="auto"/>
            <w:shd w:val="clear" w:color="auto" w:fill="auto"/>
            <w:vAlign w:val="center"/>
          </w:tcPr>
          <w:p w14:paraId="3E4FB2F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太和县保兴医药健康产业园高端共享制造平台制剂生产基地项目</w:t>
            </w:r>
          </w:p>
        </w:tc>
        <w:tc>
          <w:tcPr>
            <w:tcW w:w="0" w:type="auto"/>
            <w:shd w:val="clear" w:color="auto" w:fill="auto"/>
            <w:vAlign w:val="center"/>
          </w:tcPr>
          <w:p w14:paraId="41250EB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w:t>
            </w:r>
          </w:p>
        </w:tc>
        <w:tc>
          <w:tcPr>
            <w:tcW w:w="0" w:type="auto"/>
            <w:shd w:val="clear" w:color="auto" w:fill="auto"/>
            <w:vAlign w:val="center"/>
          </w:tcPr>
          <w:p w14:paraId="23BE5F6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36643846">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12.88万平方米，建设综合制剂楼、创意厂房、质检办公楼及生活用房，配套相关附属设施，形成年产注射用甲砜霉素甘氨酸酯250万支、厄贝沙坦氢氯噻嗪胶囊2.1亿粒、二甲双胍格列吡嗪片3亿片等药品的生产能力</w:t>
            </w:r>
          </w:p>
        </w:tc>
        <w:tc>
          <w:tcPr>
            <w:tcW w:w="876" w:type="dxa"/>
            <w:shd w:val="clear" w:color="auto" w:fill="auto"/>
            <w:vAlign w:val="center"/>
          </w:tcPr>
          <w:p w14:paraId="316027F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4B13D78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安徽四环科宝制药有限公司</w:t>
            </w:r>
          </w:p>
        </w:tc>
        <w:tc>
          <w:tcPr>
            <w:tcW w:w="0" w:type="auto"/>
            <w:shd w:val="clear" w:color="auto" w:fill="auto"/>
            <w:vAlign w:val="center"/>
          </w:tcPr>
          <w:p w14:paraId="1047703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太和经济开发区管委会</w:t>
            </w:r>
          </w:p>
        </w:tc>
        <w:tc>
          <w:tcPr>
            <w:tcW w:w="0" w:type="auto"/>
            <w:shd w:val="clear" w:color="auto" w:fill="auto"/>
            <w:vAlign w:val="center"/>
          </w:tcPr>
          <w:p w14:paraId="1044D60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05AEE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5" w:hRule="atLeast"/>
        </w:trPr>
        <w:tc>
          <w:tcPr>
            <w:tcW w:w="0" w:type="auto"/>
            <w:shd w:val="clear" w:color="auto" w:fill="auto"/>
            <w:vAlign w:val="center"/>
          </w:tcPr>
          <w:p w14:paraId="138EA35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w:t>
            </w:r>
          </w:p>
        </w:tc>
        <w:tc>
          <w:tcPr>
            <w:tcW w:w="0" w:type="auto"/>
            <w:shd w:val="clear" w:color="auto" w:fill="auto"/>
            <w:vAlign w:val="center"/>
          </w:tcPr>
          <w:p w14:paraId="2093564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南京格亚高级医药中间体生产和医药新产品研发、中试项目</w:t>
            </w:r>
          </w:p>
        </w:tc>
        <w:tc>
          <w:tcPr>
            <w:tcW w:w="0" w:type="auto"/>
            <w:shd w:val="clear" w:color="auto" w:fill="auto"/>
            <w:vAlign w:val="center"/>
          </w:tcPr>
          <w:p w14:paraId="4C75294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w:t>
            </w:r>
          </w:p>
        </w:tc>
        <w:tc>
          <w:tcPr>
            <w:tcW w:w="0" w:type="auto"/>
            <w:shd w:val="clear" w:color="auto" w:fill="auto"/>
            <w:vAlign w:val="center"/>
          </w:tcPr>
          <w:p w14:paraId="36DFA60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0459634F">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规划总建筑面积20.86万平方米，建设5栋甲类车间、1栋GMP车间、4栋甲类仓库、2栋丙类仓库、1栋丁类仓库、1栋办公楼、1栋研发中心、1座日处理量150吨污水处理站、1栋动力车间、1栋净水车间。配套附属设施，购置设备仪器等</w:t>
            </w:r>
          </w:p>
        </w:tc>
        <w:tc>
          <w:tcPr>
            <w:tcW w:w="876" w:type="dxa"/>
            <w:shd w:val="clear" w:color="auto" w:fill="auto"/>
            <w:vAlign w:val="center"/>
          </w:tcPr>
          <w:p w14:paraId="4A55C96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10.8</w:t>
            </w:r>
          </w:p>
        </w:tc>
        <w:tc>
          <w:tcPr>
            <w:tcW w:w="1787" w:type="dxa"/>
            <w:shd w:val="clear" w:color="auto" w:fill="auto"/>
            <w:vAlign w:val="center"/>
          </w:tcPr>
          <w:p w14:paraId="5086FB8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南京格亚医药科技有限公司</w:t>
            </w:r>
          </w:p>
        </w:tc>
        <w:tc>
          <w:tcPr>
            <w:tcW w:w="0" w:type="auto"/>
            <w:shd w:val="clear" w:color="auto" w:fill="auto"/>
            <w:vAlign w:val="center"/>
          </w:tcPr>
          <w:p w14:paraId="7CC8E2A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太和经济开发区管委会</w:t>
            </w:r>
          </w:p>
        </w:tc>
        <w:tc>
          <w:tcPr>
            <w:tcW w:w="0" w:type="auto"/>
            <w:shd w:val="clear" w:color="auto" w:fill="auto"/>
            <w:vAlign w:val="center"/>
          </w:tcPr>
          <w:p w14:paraId="11F3968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619A3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7B90813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6</w:t>
            </w:r>
          </w:p>
        </w:tc>
        <w:tc>
          <w:tcPr>
            <w:tcW w:w="0" w:type="auto"/>
            <w:shd w:val="clear" w:color="auto" w:fill="auto"/>
            <w:vAlign w:val="center"/>
          </w:tcPr>
          <w:p w14:paraId="4AE2BEC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抗肿瘤替尼类靶向药物及呼吸道类药物原料及中间体项目</w:t>
            </w:r>
          </w:p>
        </w:tc>
        <w:tc>
          <w:tcPr>
            <w:tcW w:w="0" w:type="auto"/>
            <w:shd w:val="clear" w:color="auto" w:fill="auto"/>
            <w:vAlign w:val="center"/>
          </w:tcPr>
          <w:p w14:paraId="0B770AE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w:t>
            </w:r>
          </w:p>
        </w:tc>
        <w:tc>
          <w:tcPr>
            <w:tcW w:w="0" w:type="auto"/>
            <w:shd w:val="clear" w:color="auto" w:fill="auto"/>
            <w:vAlign w:val="center"/>
          </w:tcPr>
          <w:p w14:paraId="578BB2A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5EA87B8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总建筑面积5.66万平方米，包括多功能生产车间、成品仓库、原料仓库及专家公寓等，配套建设给排水、变配电、消防、污水处理等公用工程</w:t>
            </w:r>
          </w:p>
        </w:tc>
        <w:tc>
          <w:tcPr>
            <w:tcW w:w="876" w:type="dxa"/>
            <w:shd w:val="clear" w:color="auto" w:fill="auto"/>
            <w:vAlign w:val="center"/>
          </w:tcPr>
          <w:p w14:paraId="7549D76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10.6</w:t>
            </w:r>
          </w:p>
        </w:tc>
        <w:tc>
          <w:tcPr>
            <w:tcW w:w="1787" w:type="dxa"/>
            <w:shd w:val="clear" w:color="auto" w:fill="auto"/>
            <w:vAlign w:val="center"/>
          </w:tcPr>
          <w:p w14:paraId="31201EC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安徽德诺医药股份有限公司</w:t>
            </w:r>
          </w:p>
        </w:tc>
        <w:tc>
          <w:tcPr>
            <w:tcW w:w="0" w:type="auto"/>
            <w:shd w:val="clear" w:color="auto" w:fill="auto"/>
            <w:vAlign w:val="center"/>
          </w:tcPr>
          <w:p w14:paraId="14E7B08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太和经济开发区管委会</w:t>
            </w:r>
          </w:p>
        </w:tc>
        <w:tc>
          <w:tcPr>
            <w:tcW w:w="0" w:type="auto"/>
            <w:shd w:val="clear" w:color="auto" w:fill="auto"/>
            <w:vAlign w:val="center"/>
          </w:tcPr>
          <w:p w14:paraId="2D73871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76C55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5" w:hRule="atLeast"/>
        </w:trPr>
        <w:tc>
          <w:tcPr>
            <w:tcW w:w="0" w:type="auto"/>
            <w:shd w:val="clear" w:color="auto" w:fill="auto"/>
            <w:vAlign w:val="center"/>
          </w:tcPr>
          <w:p w14:paraId="20F2AEC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7</w:t>
            </w:r>
          </w:p>
        </w:tc>
        <w:tc>
          <w:tcPr>
            <w:tcW w:w="0" w:type="auto"/>
            <w:shd w:val="clear" w:color="auto" w:fill="auto"/>
            <w:vAlign w:val="center"/>
          </w:tcPr>
          <w:p w14:paraId="477F7BE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安徽省医药设计院现代高端医药产业原料药产业园</w:t>
            </w:r>
          </w:p>
        </w:tc>
        <w:tc>
          <w:tcPr>
            <w:tcW w:w="0" w:type="auto"/>
            <w:shd w:val="clear" w:color="auto" w:fill="auto"/>
            <w:vAlign w:val="center"/>
          </w:tcPr>
          <w:p w14:paraId="133E9CA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w:t>
            </w:r>
          </w:p>
        </w:tc>
        <w:tc>
          <w:tcPr>
            <w:tcW w:w="0" w:type="auto"/>
            <w:shd w:val="clear" w:color="auto" w:fill="auto"/>
            <w:vAlign w:val="center"/>
          </w:tcPr>
          <w:p w14:paraId="5DE348D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1F2B9C3B">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用地面积约500亩（以土地出让协议确认的面积为准)，项目落地在太和县经济开发区化工集中区，依据新引进的医药原料药生产需求，建设符合欧美及我国新版GMP要求的生产车间、检验中心、实验中心和相关配套设施，以及建设国内领先、从事高端、精细、高附加值生物医药原料药的研发生产平台</w:t>
            </w:r>
          </w:p>
        </w:tc>
        <w:tc>
          <w:tcPr>
            <w:tcW w:w="876" w:type="dxa"/>
            <w:shd w:val="clear" w:color="auto" w:fill="auto"/>
            <w:vAlign w:val="center"/>
          </w:tcPr>
          <w:p w14:paraId="6BA1A3D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30</w:t>
            </w:r>
          </w:p>
        </w:tc>
        <w:tc>
          <w:tcPr>
            <w:tcW w:w="1787" w:type="dxa"/>
            <w:shd w:val="clear" w:color="auto" w:fill="auto"/>
            <w:vAlign w:val="center"/>
          </w:tcPr>
          <w:p w14:paraId="7900615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安徽省医药设计院</w:t>
            </w:r>
          </w:p>
        </w:tc>
        <w:tc>
          <w:tcPr>
            <w:tcW w:w="0" w:type="auto"/>
            <w:shd w:val="clear" w:color="auto" w:fill="auto"/>
            <w:vAlign w:val="center"/>
          </w:tcPr>
          <w:p w14:paraId="41F1809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太和经济开发区管委会</w:t>
            </w:r>
          </w:p>
        </w:tc>
        <w:tc>
          <w:tcPr>
            <w:tcW w:w="0" w:type="auto"/>
            <w:shd w:val="clear" w:color="auto" w:fill="auto"/>
            <w:vAlign w:val="center"/>
          </w:tcPr>
          <w:p w14:paraId="6EB72E2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79C7C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35" w:hRule="atLeast"/>
        </w:trPr>
        <w:tc>
          <w:tcPr>
            <w:tcW w:w="0" w:type="auto"/>
            <w:shd w:val="clear" w:color="auto" w:fill="auto"/>
            <w:vAlign w:val="center"/>
          </w:tcPr>
          <w:p w14:paraId="39C673A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8</w:t>
            </w:r>
          </w:p>
        </w:tc>
        <w:tc>
          <w:tcPr>
            <w:tcW w:w="0" w:type="auto"/>
            <w:shd w:val="clear" w:color="auto" w:fill="auto"/>
            <w:vAlign w:val="center"/>
          </w:tcPr>
          <w:p w14:paraId="78E6CCA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太和保兴医药健康产业园特色原料药产业基地项目</w:t>
            </w:r>
          </w:p>
        </w:tc>
        <w:tc>
          <w:tcPr>
            <w:tcW w:w="0" w:type="auto"/>
            <w:shd w:val="clear" w:color="auto" w:fill="auto"/>
            <w:vAlign w:val="center"/>
          </w:tcPr>
          <w:p w14:paraId="4187D46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w:t>
            </w:r>
          </w:p>
        </w:tc>
        <w:tc>
          <w:tcPr>
            <w:tcW w:w="0" w:type="auto"/>
            <w:shd w:val="clear" w:color="auto" w:fill="auto"/>
            <w:vAlign w:val="center"/>
          </w:tcPr>
          <w:p w14:paraId="14C21D7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0373EDF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设计总建筑面积100万平方米，分为平台主导管理区和共同管理区，主导投资2个高端原料药生产平台（CDMO）和4个特色原料药生产企业，同时引进5-10个符合产业基地定位的项目入驻</w:t>
            </w:r>
          </w:p>
        </w:tc>
        <w:tc>
          <w:tcPr>
            <w:tcW w:w="876" w:type="dxa"/>
            <w:shd w:val="clear" w:color="auto" w:fill="auto"/>
            <w:vAlign w:val="center"/>
          </w:tcPr>
          <w:p w14:paraId="315FB3D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30</w:t>
            </w:r>
          </w:p>
        </w:tc>
        <w:tc>
          <w:tcPr>
            <w:tcW w:w="1787" w:type="dxa"/>
            <w:shd w:val="clear" w:color="auto" w:fill="auto"/>
            <w:vAlign w:val="center"/>
          </w:tcPr>
          <w:p w14:paraId="575254B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太和保兴医药健康产业园发展有限公司</w:t>
            </w:r>
          </w:p>
        </w:tc>
        <w:tc>
          <w:tcPr>
            <w:tcW w:w="0" w:type="auto"/>
            <w:shd w:val="clear" w:color="auto" w:fill="auto"/>
            <w:vAlign w:val="center"/>
          </w:tcPr>
          <w:p w14:paraId="65DDBF9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安徽太和经济开发区管理委员会</w:t>
            </w:r>
          </w:p>
        </w:tc>
        <w:tc>
          <w:tcPr>
            <w:tcW w:w="0" w:type="auto"/>
            <w:shd w:val="clear" w:color="auto" w:fill="auto"/>
            <w:vAlign w:val="center"/>
          </w:tcPr>
          <w:p w14:paraId="5B234FE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664D7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6FC7F1A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9</w:t>
            </w:r>
          </w:p>
        </w:tc>
        <w:tc>
          <w:tcPr>
            <w:tcW w:w="0" w:type="auto"/>
            <w:shd w:val="clear" w:color="auto" w:fill="auto"/>
            <w:vAlign w:val="center"/>
          </w:tcPr>
          <w:p w14:paraId="427F717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中印国际医药产业合作试验区-国际医药高端制剂共享制造基地（二期）</w:t>
            </w:r>
          </w:p>
        </w:tc>
        <w:tc>
          <w:tcPr>
            <w:tcW w:w="0" w:type="auto"/>
            <w:shd w:val="clear" w:color="auto" w:fill="auto"/>
            <w:vAlign w:val="center"/>
          </w:tcPr>
          <w:p w14:paraId="42CFA2A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w:t>
            </w:r>
          </w:p>
        </w:tc>
        <w:tc>
          <w:tcPr>
            <w:tcW w:w="0" w:type="auto"/>
            <w:shd w:val="clear" w:color="auto" w:fill="auto"/>
            <w:vAlign w:val="center"/>
          </w:tcPr>
          <w:p w14:paraId="6ED13BA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6D6766EA">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建设内容：项目占地面积10.4万平方米，总建筑面积10.61万平方米。主要建设内容包括高端制剂共享生产（GMP洁净车间、共享制造生产线）；产业服务配套设施（研发实验室、QC检测实验室、质检中心、产业技术服务、科技创新服务、仓储等产业配套）；基础设施配套（道路、绿化、变电站、给排水、消防等）</w:t>
            </w:r>
          </w:p>
        </w:tc>
        <w:tc>
          <w:tcPr>
            <w:tcW w:w="876" w:type="dxa"/>
            <w:shd w:val="clear" w:color="auto" w:fill="auto"/>
            <w:vAlign w:val="center"/>
          </w:tcPr>
          <w:p w14:paraId="534F827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31.35</w:t>
            </w:r>
          </w:p>
        </w:tc>
        <w:tc>
          <w:tcPr>
            <w:tcW w:w="1787" w:type="dxa"/>
            <w:shd w:val="clear" w:color="auto" w:fill="auto"/>
            <w:vAlign w:val="center"/>
          </w:tcPr>
          <w:p w14:paraId="57F916F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安徽德众发展控股集团有限公司</w:t>
            </w:r>
          </w:p>
        </w:tc>
        <w:tc>
          <w:tcPr>
            <w:tcW w:w="0" w:type="auto"/>
            <w:shd w:val="clear" w:color="auto" w:fill="auto"/>
            <w:vAlign w:val="center"/>
          </w:tcPr>
          <w:p w14:paraId="0CF9EA3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安徽太和经济开发区管理委员会</w:t>
            </w:r>
          </w:p>
        </w:tc>
        <w:tc>
          <w:tcPr>
            <w:tcW w:w="0" w:type="auto"/>
            <w:shd w:val="clear" w:color="auto" w:fill="auto"/>
            <w:vAlign w:val="center"/>
          </w:tcPr>
          <w:p w14:paraId="109EDE5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1B6BF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537663E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0" w:type="auto"/>
            <w:shd w:val="clear" w:color="auto" w:fill="auto"/>
            <w:vAlign w:val="center"/>
          </w:tcPr>
          <w:p w14:paraId="222EC43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太和县整县屋顶分布式光伏开发项目</w:t>
            </w:r>
          </w:p>
        </w:tc>
        <w:tc>
          <w:tcPr>
            <w:tcW w:w="0" w:type="auto"/>
            <w:shd w:val="clear" w:color="auto" w:fill="auto"/>
            <w:vAlign w:val="center"/>
          </w:tcPr>
          <w:p w14:paraId="6E3C7A4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w:t>
            </w:r>
          </w:p>
        </w:tc>
        <w:tc>
          <w:tcPr>
            <w:tcW w:w="0" w:type="auto"/>
            <w:shd w:val="clear" w:color="auto" w:fill="auto"/>
            <w:vAlign w:val="center"/>
          </w:tcPr>
          <w:p w14:paraId="5EAED88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4A0712AF">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项目总装机规模309.9兆瓦，其中一期装机规模164.67兆瓦，二期装机规模145.24兆瓦</w:t>
            </w:r>
          </w:p>
        </w:tc>
        <w:tc>
          <w:tcPr>
            <w:tcW w:w="876" w:type="dxa"/>
            <w:shd w:val="clear" w:color="auto" w:fill="auto"/>
            <w:vAlign w:val="center"/>
          </w:tcPr>
          <w:p w14:paraId="5605501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12.4</w:t>
            </w:r>
          </w:p>
        </w:tc>
        <w:tc>
          <w:tcPr>
            <w:tcW w:w="1787" w:type="dxa"/>
            <w:shd w:val="clear" w:color="auto" w:fill="auto"/>
            <w:vAlign w:val="center"/>
          </w:tcPr>
          <w:p w14:paraId="16AFC3F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中国三峡新能源（集团）股份有限公司安徽分公司</w:t>
            </w:r>
          </w:p>
        </w:tc>
        <w:tc>
          <w:tcPr>
            <w:tcW w:w="0" w:type="auto"/>
            <w:shd w:val="clear" w:color="auto" w:fill="auto"/>
            <w:vAlign w:val="center"/>
          </w:tcPr>
          <w:p w14:paraId="12912B3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太和县发改委</w:t>
            </w:r>
          </w:p>
        </w:tc>
        <w:tc>
          <w:tcPr>
            <w:tcW w:w="0" w:type="auto"/>
            <w:shd w:val="clear" w:color="auto" w:fill="auto"/>
            <w:vAlign w:val="center"/>
          </w:tcPr>
          <w:p w14:paraId="19FC343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68710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trPr>
        <w:tc>
          <w:tcPr>
            <w:tcW w:w="0" w:type="auto"/>
            <w:shd w:val="clear" w:color="auto" w:fill="auto"/>
            <w:vAlign w:val="center"/>
          </w:tcPr>
          <w:p w14:paraId="5C2B92C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11</w:t>
            </w:r>
          </w:p>
        </w:tc>
        <w:tc>
          <w:tcPr>
            <w:tcW w:w="0" w:type="auto"/>
            <w:shd w:val="clear" w:color="auto" w:fill="auto"/>
            <w:vAlign w:val="center"/>
          </w:tcPr>
          <w:p w14:paraId="6F1554E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太和县氢能源综合利用项目</w:t>
            </w:r>
          </w:p>
        </w:tc>
        <w:tc>
          <w:tcPr>
            <w:tcW w:w="0" w:type="auto"/>
            <w:shd w:val="clear" w:color="auto" w:fill="auto"/>
            <w:vAlign w:val="center"/>
          </w:tcPr>
          <w:p w14:paraId="6F29586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w:t>
            </w:r>
          </w:p>
        </w:tc>
        <w:tc>
          <w:tcPr>
            <w:tcW w:w="0" w:type="auto"/>
            <w:shd w:val="clear" w:color="auto" w:fill="auto"/>
            <w:vAlign w:val="center"/>
          </w:tcPr>
          <w:p w14:paraId="23406B7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760988E1">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本期建设容量为1×100MW抽凝式汽轮发电机组配2×410t/h高温超高压生物质锅炉（一用一备），二期根据北部新区的工业负荷需求情况，规划建设2×100MW背压式汽轮发电机组配2×410t/h高温超高压生物质锅炉。本报告按本期的装机规模设计，预留二期的扩建条件</w:t>
            </w:r>
          </w:p>
        </w:tc>
        <w:tc>
          <w:tcPr>
            <w:tcW w:w="876" w:type="dxa"/>
            <w:shd w:val="clear" w:color="auto" w:fill="auto"/>
            <w:vAlign w:val="center"/>
          </w:tcPr>
          <w:p w14:paraId="5CF6631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25</w:t>
            </w:r>
          </w:p>
        </w:tc>
        <w:tc>
          <w:tcPr>
            <w:tcW w:w="1787" w:type="dxa"/>
            <w:shd w:val="clear" w:color="auto" w:fill="auto"/>
            <w:vAlign w:val="center"/>
          </w:tcPr>
          <w:p w14:paraId="6C0B39B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中国东方电气集团有限公司</w:t>
            </w:r>
          </w:p>
        </w:tc>
        <w:tc>
          <w:tcPr>
            <w:tcW w:w="0" w:type="auto"/>
            <w:shd w:val="clear" w:color="auto" w:fill="auto"/>
            <w:vAlign w:val="center"/>
          </w:tcPr>
          <w:p w14:paraId="2D0DDC3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太和经济开发区管委会</w:t>
            </w:r>
          </w:p>
        </w:tc>
        <w:tc>
          <w:tcPr>
            <w:tcW w:w="0" w:type="auto"/>
            <w:shd w:val="clear" w:color="auto" w:fill="auto"/>
            <w:vAlign w:val="center"/>
          </w:tcPr>
          <w:p w14:paraId="2DFBFFC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27CF5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0" w:type="auto"/>
            <w:shd w:val="clear" w:color="auto" w:fill="auto"/>
            <w:vAlign w:val="center"/>
          </w:tcPr>
          <w:p w14:paraId="12E53E7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w:t>
            </w:r>
          </w:p>
        </w:tc>
        <w:tc>
          <w:tcPr>
            <w:tcW w:w="0" w:type="auto"/>
            <w:shd w:val="clear" w:color="auto" w:fill="auto"/>
            <w:vAlign w:val="center"/>
          </w:tcPr>
          <w:p w14:paraId="425C2A6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集成电路芯片封装测试项目</w:t>
            </w:r>
          </w:p>
        </w:tc>
        <w:tc>
          <w:tcPr>
            <w:tcW w:w="0" w:type="auto"/>
            <w:shd w:val="clear" w:color="auto" w:fill="auto"/>
            <w:vAlign w:val="center"/>
          </w:tcPr>
          <w:p w14:paraId="2996A50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w:t>
            </w:r>
          </w:p>
        </w:tc>
        <w:tc>
          <w:tcPr>
            <w:tcW w:w="0" w:type="auto"/>
            <w:shd w:val="clear" w:color="auto" w:fill="auto"/>
            <w:vAlign w:val="center"/>
          </w:tcPr>
          <w:p w14:paraId="2D2C53F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2D33F3F4">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拟投资建设1056台芯片封装测试机械生产基地，第一期新建400台芯片封装测试机械、50000㎡（千级无尘车间）</w:t>
            </w:r>
          </w:p>
        </w:tc>
        <w:tc>
          <w:tcPr>
            <w:tcW w:w="876" w:type="dxa"/>
            <w:shd w:val="clear" w:color="auto" w:fill="auto"/>
            <w:vAlign w:val="center"/>
          </w:tcPr>
          <w:p w14:paraId="521B609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2F8E377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深圳天源中芯半导体有限公司</w:t>
            </w:r>
          </w:p>
        </w:tc>
        <w:tc>
          <w:tcPr>
            <w:tcW w:w="0" w:type="auto"/>
            <w:shd w:val="clear" w:color="auto" w:fill="auto"/>
            <w:vAlign w:val="center"/>
          </w:tcPr>
          <w:p w14:paraId="2FFA884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太和县经济开发区管委会</w:t>
            </w:r>
          </w:p>
        </w:tc>
        <w:tc>
          <w:tcPr>
            <w:tcW w:w="0" w:type="auto"/>
            <w:shd w:val="clear" w:color="auto" w:fill="auto"/>
            <w:vAlign w:val="center"/>
          </w:tcPr>
          <w:p w14:paraId="00BAC19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69732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65" w:hRule="atLeast"/>
        </w:trPr>
        <w:tc>
          <w:tcPr>
            <w:tcW w:w="0" w:type="auto"/>
            <w:shd w:val="clear" w:color="auto" w:fill="auto"/>
            <w:vAlign w:val="center"/>
          </w:tcPr>
          <w:p w14:paraId="5DB3180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13</w:t>
            </w:r>
          </w:p>
        </w:tc>
        <w:tc>
          <w:tcPr>
            <w:tcW w:w="0" w:type="auto"/>
            <w:shd w:val="clear" w:color="auto" w:fill="auto"/>
            <w:vAlign w:val="center"/>
          </w:tcPr>
          <w:p w14:paraId="6816E37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江淮国际医药产业园建设项目</w:t>
            </w:r>
          </w:p>
        </w:tc>
        <w:tc>
          <w:tcPr>
            <w:tcW w:w="0" w:type="auto"/>
            <w:shd w:val="clear" w:color="auto" w:fill="auto"/>
            <w:vAlign w:val="center"/>
          </w:tcPr>
          <w:p w14:paraId="752EC86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w:t>
            </w:r>
          </w:p>
        </w:tc>
        <w:tc>
          <w:tcPr>
            <w:tcW w:w="0" w:type="auto"/>
            <w:shd w:val="clear" w:color="auto" w:fill="auto"/>
            <w:vAlign w:val="center"/>
          </w:tcPr>
          <w:p w14:paraId="6093209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204749C1">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规划占地1000亩，分三期实施，一期300亩，二期300亩，三期400亩，总投资100亿元，其中一期计划投资30亿元，计划招商医药企业20家符合太和要求的准上市药企。达产后产值年75亿，年财税贡献约5.3亿。达产后3-5年，4-6家上市公司</w:t>
            </w:r>
          </w:p>
        </w:tc>
        <w:tc>
          <w:tcPr>
            <w:tcW w:w="876" w:type="dxa"/>
            <w:shd w:val="clear" w:color="auto" w:fill="auto"/>
            <w:vAlign w:val="center"/>
          </w:tcPr>
          <w:p w14:paraId="7B776FB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100</w:t>
            </w:r>
          </w:p>
        </w:tc>
        <w:tc>
          <w:tcPr>
            <w:tcW w:w="1787" w:type="dxa"/>
            <w:shd w:val="clear" w:color="auto" w:fill="auto"/>
            <w:vAlign w:val="center"/>
          </w:tcPr>
          <w:p w14:paraId="2C4FE5A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安徽德众发展控股集团有限公司</w:t>
            </w:r>
          </w:p>
        </w:tc>
        <w:tc>
          <w:tcPr>
            <w:tcW w:w="0" w:type="auto"/>
            <w:shd w:val="clear" w:color="auto" w:fill="auto"/>
            <w:vAlign w:val="center"/>
          </w:tcPr>
          <w:p w14:paraId="7233ACA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太和经济开发区管委会</w:t>
            </w:r>
          </w:p>
        </w:tc>
        <w:tc>
          <w:tcPr>
            <w:tcW w:w="0" w:type="auto"/>
            <w:shd w:val="clear" w:color="auto" w:fill="auto"/>
            <w:vAlign w:val="center"/>
          </w:tcPr>
          <w:p w14:paraId="39EDF9B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3D80F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5165DBF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14</w:t>
            </w:r>
          </w:p>
        </w:tc>
        <w:tc>
          <w:tcPr>
            <w:tcW w:w="0" w:type="auto"/>
            <w:shd w:val="clear" w:color="auto" w:fill="auto"/>
            <w:vAlign w:val="center"/>
          </w:tcPr>
          <w:p w14:paraId="39AF285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深紫外半导体芯片项目</w:t>
            </w:r>
          </w:p>
        </w:tc>
        <w:tc>
          <w:tcPr>
            <w:tcW w:w="0" w:type="auto"/>
            <w:shd w:val="clear" w:color="auto" w:fill="auto"/>
            <w:vAlign w:val="center"/>
          </w:tcPr>
          <w:p w14:paraId="297800B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w:t>
            </w:r>
          </w:p>
        </w:tc>
        <w:tc>
          <w:tcPr>
            <w:tcW w:w="0" w:type="auto"/>
            <w:shd w:val="clear" w:color="auto" w:fill="auto"/>
            <w:vAlign w:val="center"/>
          </w:tcPr>
          <w:p w14:paraId="25B5F20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4D96DF67">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项目需求用地100亩，达产后预计可实现产值30-40亿元/年，税收2亿元</w:t>
            </w:r>
          </w:p>
        </w:tc>
        <w:tc>
          <w:tcPr>
            <w:tcW w:w="876" w:type="dxa"/>
            <w:shd w:val="clear" w:color="auto" w:fill="auto"/>
            <w:vAlign w:val="center"/>
          </w:tcPr>
          <w:p w14:paraId="1E43D9A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w:t>
            </w:r>
          </w:p>
        </w:tc>
        <w:tc>
          <w:tcPr>
            <w:tcW w:w="1787" w:type="dxa"/>
            <w:shd w:val="clear" w:color="auto" w:fill="auto"/>
            <w:vAlign w:val="center"/>
          </w:tcPr>
          <w:p w14:paraId="198129D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上海中产集团</w:t>
            </w:r>
          </w:p>
        </w:tc>
        <w:tc>
          <w:tcPr>
            <w:tcW w:w="0" w:type="auto"/>
            <w:shd w:val="clear" w:color="auto" w:fill="auto"/>
            <w:vAlign w:val="center"/>
          </w:tcPr>
          <w:p w14:paraId="1E12190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安徽太和经济开发区管理委员会</w:t>
            </w:r>
          </w:p>
        </w:tc>
        <w:tc>
          <w:tcPr>
            <w:tcW w:w="0" w:type="auto"/>
            <w:shd w:val="clear" w:color="auto" w:fill="auto"/>
            <w:vAlign w:val="center"/>
          </w:tcPr>
          <w:p w14:paraId="49F33B0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2DCE1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108DD28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w:t>
            </w:r>
          </w:p>
        </w:tc>
        <w:tc>
          <w:tcPr>
            <w:tcW w:w="0" w:type="auto"/>
            <w:shd w:val="clear" w:color="auto" w:fill="auto"/>
            <w:vAlign w:val="center"/>
          </w:tcPr>
          <w:p w14:paraId="367EB7A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MAH平台及制造基地</w:t>
            </w:r>
          </w:p>
        </w:tc>
        <w:tc>
          <w:tcPr>
            <w:tcW w:w="0" w:type="auto"/>
            <w:shd w:val="clear" w:color="auto" w:fill="auto"/>
            <w:vAlign w:val="center"/>
          </w:tcPr>
          <w:p w14:paraId="4DCDA2F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w:t>
            </w:r>
          </w:p>
        </w:tc>
        <w:tc>
          <w:tcPr>
            <w:tcW w:w="0" w:type="auto"/>
            <w:shd w:val="clear" w:color="auto" w:fill="auto"/>
            <w:vAlign w:val="center"/>
          </w:tcPr>
          <w:p w14:paraId="09AF957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09E23C96">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占地约1000亩，其中原料药基地占地约200亩，制剂基地占地面积约550亩，中药提取及制剂占地面积约150亩，生活配套设施100亩。项目建成后将涵盖原料药、中药提取、口服常释制剂、口服缓控释制剂、普通冻干粉针、头孢类冻干粉针、质子泵抑制剂类冻干粉针、小水针、混悬液、口服液、雾化吸入剂、滴眼液、贴剂等剂型</w:t>
            </w:r>
          </w:p>
        </w:tc>
        <w:tc>
          <w:tcPr>
            <w:tcW w:w="876" w:type="dxa"/>
            <w:shd w:val="clear" w:color="auto" w:fill="auto"/>
            <w:vAlign w:val="center"/>
          </w:tcPr>
          <w:p w14:paraId="6EA6CDF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w:t>
            </w:r>
          </w:p>
        </w:tc>
        <w:tc>
          <w:tcPr>
            <w:tcW w:w="1787" w:type="dxa"/>
            <w:shd w:val="clear" w:color="auto" w:fill="auto"/>
            <w:vAlign w:val="center"/>
          </w:tcPr>
          <w:p w14:paraId="6FB7A6E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安徽泰宇药业有限公司</w:t>
            </w:r>
          </w:p>
        </w:tc>
        <w:tc>
          <w:tcPr>
            <w:tcW w:w="0" w:type="auto"/>
            <w:shd w:val="clear" w:color="auto" w:fill="auto"/>
            <w:vAlign w:val="center"/>
          </w:tcPr>
          <w:p w14:paraId="630F2EF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安徽太和经济开发区管理委员会</w:t>
            </w:r>
          </w:p>
        </w:tc>
        <w:tc>
          <w:tcPr>
            <w:tcW w:w="0" w:type="auto"/>
            <w:shd w:val="clear" w:color="auto" w:fill="auto"/>
            <w:vAlign w:val="center"/>
          </w:tcPr>
          <w:p w14:paraId="6056F66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280C5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479F4A5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16</w:t>
            </w:r>
          </w:p>
        </w:tc>
        <w:tc>
          <w:tcPr>
            <w:tcW w:w="0" w:type="auto"/>
            <w:shd w:val="clear" w:color="auto" w:fill="auto"/>
            <w:vAlign w:val="center"/>
          </w:tcPr>
          <w:p w14:paraId="28EA4BB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安徽太和经济开发区智慧园区建设项目</w:t>
            </w:r>
          </w:p>
        </w:tc>
        <w:tc>
          <w:tcPr>
            <w:tcW w:w="0" w:type="auto"/>
            <w:shd w:val="clear" w:color="auto" w:fill="auto"/>
            <w:vAlign w:val="center"/>
          </w:tcPr>
          <w:p w14:paraId="51622BB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w:t>
            </w:r>
          </w:p>
        </w:tc>
        <w:tc>
          <w:tcPr>
            <w:tcW w:w="0" w:type="auto"/>
            <w:shd w:val="clear" w:color="auto" w:fill="auto"/>
            <w:vAlign w:val="center"/>
          </w:tcPr>
          <w:p w14:paraId="6E6E17E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52AA560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主要建设协同平台服务平台、创新产业服务、市政设施监测管理平台、环保设施监测管理平台、能源监测管理平台、企业智能化服务信息平台、公共服务平台、智慧管理平台、大数据智能处理平台、综合指挥中心、5G网络、物联网等，实现基础设施现代化、政务服务高效化、企业管理智能化、社区服务精细化。</w:t>
            </w:r>
          </w:p>
        </w:tc>
        <w:tc>
          <w:tcPr>
            <w:tcW w:w="876" w:type="dxa"/>
            <w:shd w:val="clear" w:color="auto" w:fill="auto"/>
            <w:vAlign w:val="center"/>
          </w:tcPr>
          <w:p w14:paraId="28E9666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26.37</w:t>
            </w:r>
          </w:p>
        </w:tc>
        <w:tc>
          <w:tcPr>
            <w:tcW w:w="1787" w:type="dxa"/>
            <w:shd w:val="clear" w:color="auto" w:fill="auto"/>
            <w:vAlign w:val="center"/>
          </w:tcPr>
          <w:p w14:paraId="0F0CB09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安徽太和经济建设投资有限公司</w:t>
            </w:r>
          </w:p>
        </w:tc>
        <w:tc>
          <w:tcPr>
            <w:tcW w:w="0" w:type="auto"/>
            <w:shd w:val="clear" w:color="auto" w:fill="auto"/>
            <w:vAlign w:val="center"/>
          </w:tcPr>
          <w:p w14:paraId="36E011E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安徽太和经济开发区管理委员会</w:t>
            </w:r>
          </w:p>
        </w:tc>
        <w:tc>
          <w:tcPr>
            <w:tcW w:w="0" w:type="auto"/>
            <w:shd w:val="clear" w:color="auto" w:fill="auto"/>
            <w:vAlign w:val="center"/>
          </w:tcPr>
          <w:p w14:paraId="0AD07C6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4527B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trPr>
        <w:tc>
          <w:tcPr>
            <w:tcW w:w="0" w:type="auto"/>
            <w:shd w:val="clear" w:color="auto" w:fill="auto"/>
            <w:vAlign w:val="center"/>
          </w:tcPr>
          <w:p w14:paraId="60D381D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17</w:t>
            </w:r>
          </w:p>
        </w:tc>
        <w:tc>
          <w:tcPr>
            <w:tcW w:w="0" w:type="auto"/>
            <w:shd w:val="clear" w:color="auto" w:fill="auto"/>
            <w:vAlign w:val="center"/>
          </w:tcPr>
          <w:p w14:paraId="5A82A25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超威产业园区建设项目</w:t>
            </w:r>
          </w:p>
        </w:tc>
        <w:tc>
          <w:tcPr>
            <w:tcW w:w="0" w:type="auto"/>
            <w:shd w:val="clear" w:color="auto" w:fill="auto"/>
            <w:vAlign w:val="center"/>
          </w:tcPr>
          <w:p w14:paraId="4690E06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w:t>
            </w:r>
          </w:p>
        </w:tc>
        <w:tc>
          <w:tcPr>
            <w:tcW w:w="0" w:type="auto"/>
            <w:shd w:val="clear" w:color="auto" w:fill="auto"/>
            <w:vAlign w:val="center"/>
          </w:tcPr>
          <w:p w14:paraId="1D0EAC3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78CE4DF1">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计划用地1200亩，建设超威集团安徽综合产业基地。其中包括石墨烯合金及其动力新能源电池项目、年产500Mwh钠镍电池生产线项目、合金产品及新能源动力电池、再生铅产品精加工，含贵金属固废清洁生产及稀贵金属回收项目等项目。</w:t>
            </w:r>
          </w:p>
        </w:tc>
        <w:tc>
          <w:tcPr>
            <w:tcW w:w="876" w:type="dxa"/>
            <w:shd w:val="clear" w:color="auto" w:fill="auto"/>
            <w:vAlign w:val="center"/>
          </w:tcPr>
          <w:p w14:paraId="504A265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50.8</w:t>
            </w:r>
          </w:p>
        </w:tc>
        <w:tc>
          <w:tcPr>
            <w:tcW w:w="1787" w:type="dxa"/>
            <w:shd w:val="clear" w:color="auto" w:fill="auto"/>
            <w:vAlign w:val="center"/>
          </w:tcPr>
          <w:p w14:paraId="361052E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超威集团</w:t>
            </w:r>
          </w:p>
        </w:tc>
        <w:tc>
          <w:tcPr>
            <w:tcW w:w="0" w:type="auto"/>
            <w:shd w:val="clear" w:color="auto" w:fill="auto"/>
            <w:vAlign w:val="center"/>
          </w:tcPr>
          <w:p w14:paraId="3F78C56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太和县肖口镇政府</w:t>
            </w:r>
          </w:p>
        </w:tc>
        <w:tc>
          <w:tcPr>
            <w:tcW w:w="0" w:type="auto"/>
            <w:shd w:val="clear" w:color="auto" w:fill="auto"/>
            <w:vAlign w:val="center"/>
          </w:tcPr>
          <w:p w14:paraId="0A3946D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09158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95" w:hRule="atLeast"/>
        </w:trPr>
        <w:tc>
          <w:tcPr>
            <w:tcW w:w="0" w:type="auto"/>
            <w:shd w:val="clear" w:color="auto" w:fill="auto"/>
            <w:vAlign w:val="center"/>
          </w:tcPr>
          <w:p w14:paraId="4403739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18</w:t>
            </w:r>
          </w:p>
        </w:tc>
        <w:tc>
          <w:tcPr>
            <w:tcW w:w="0" w:type="auto"/>
            <w:shd w:val="clear" w:color="auto" w:fill="auto"/>
            <w:vAlign w:val="center"/>
          </w:tcPr>
          <w:p w14:paraId="2B6F562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太和县中医药产业园</w:t>
            </w:r>
          </w:p>
        </w:tc>
        <w:tc>
          <w:tcPr>
            <w:tcW w:w="0" w:type="auto"/>
            <w:shd w:val="clear" w:color="auto" w:fill="auto"/>
            <w:vAlign w:val="center"/>
          </w:tcPr>
          <w:p w14:paraId="141B633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w:t>
            </w:r>
          </w:p>
        </w:tc>
        <w:tc>
          <w:tcPr>
            <w:tcW w:w="0" w:type="auto"/>
            <w:shd w:val="clear" w:color="auto" w:fill="auto"/>
            <w:vAlign w:val="center"/>
          </w:tcPr>
          <w:p w14:paraId="5B55559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6C465182">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建设中医药研发区、中医医疗区、中医药养生养老区、商业综合服务区等，配套消防、给排水、变电、环保等基础设施，引进医疗高值耗材及精密医疗设备产品的研发、设计、生产和销售为一体的国家级高新企业入驻</w:t>
            </w:r>
          </w:p>
        </w:tc>
        <w:tc>
          <w:tcPr>
            <w:tcW w:w="876" w:type="dxa"/>
            <w:shd w:val="clear" w:color="auto" w:fill="auto"/>
            <w:vAlign w:val="center"/>
          </w:tcPr>
          <w:p w14:paraId="7319248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w:t>
            </w:r>
          </w:p>
        </w:tc>
        <w:tc>
          <w:tcPr>
            <w:tcW w:w="1787" w:type="dxa"/>
            <w:shd w:val="clear" w:color="auto" w:fill="auto"/>
            <w:vAlign w:val="center"/>
          </w:tcPr>
          <w:p w14:paraId="797B30A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北京春风药业有限公司</w:t>
            </w:r>
          </w:p>
        </w:tc>
        <w:tc>
          <w:tcPr>
            <w:tcW w:w="0" w:type="auto"/>
            <w:shd w:val="clear" w:color="auto" w:fill="auto"/>
            <w:vAlign w:val="center"/>
          </w:tcPr>
          <w:p w14:paraId="5D4D624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安徽太和经济开发区管理委员会</w:t>
            </w:r>
          </w:p>
        </w:tc>
        <w:tc>
          <w:tcPr>
            <w:tcW w:w="0" w:type="auto"/>
            <w:shd w:val="clear" w:color="auto" w:fill="auto"/>
            <w:vAlign w:val="center"/>
          </w:tcPr>
          <w:p w14:paraId="690AEAD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2A56A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136E9DF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19</w:t>
            </w:r>
          </w:p>
        </w:tc>
        <w:tc>
          <w:tcPr>
            <w:tcW w:w="0" w:type="auto"/>
            <w:shd w:val="clear" w:color="auto" w:fill="auto"/>
            <w:vAlign w:val="center"/>
          </w:tcPr>
          <w:p w14:paraId="7F902EA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生物岛二期工程</w:t>
            </w:r>
          </w:p>
        </w:tc>
        <w:tc>
          <w:tcPr>
            <w:tcW w:w="0" w:type="auto"/>
            <w:shd w:val="clear" w:color="auto" w:fill="auto"/>
            <w:vAlign w:val="center"/>
          </w:tcPr>
          <w:p w14:paraId="0AE5E0A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w:t>
            </w:r>
          </w:p>
        </w:tc>
        <w:tc>
          <w:tcPr>
            <w:tcW w:w="0" w:type="auto"/>
            <w:shd w:val="clear" w:color="auto" w:fill="auto"/>
            <w:vAlign w:val="center"/>
          </w:tcPr>
          <w:p w14:paraId="6F1A911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7B6F93D1">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总建筑面积24.5万平方米，建设创新孵化厂房、智能生产定制厂房、会展中心、行政办公中心，配套建设道路、停车场、绿化、给排水、变配电、消防、环保等公用辅助设施</w:t>
            </w:r>
          </w:p>
        </w:tc>
        <w:tc>
          <w:tcPr>
            <w:tcW w:w="876" w:type="dxa"/>
            <w:shd w:val="clear" w:color="auto" w:fill="auto"/>
            <w:vAlign w:val="center"/>
          </w:tcPr>
          <w:p w14:paraId="22D550B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25</w:t>
            </w:r>
          </w:p>
        </w:tc>
        <w:tc>
          <w:tcPr>
            <w:tcW w:w="1787" w:type="dxa"/>
            <w:shd w:val="clear" w:color="auto" w:fill="auto"/>
            <w:vAlign w:val="center"/>
          </w:tcPr>
          <w:p w14:paraId="1BEF572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太和县经济开发区管委会</w:t>
            </w:r>
          </w:p>
        </w:tc>
        <w:tc>
          <w:tcPr>
            <w:tcW w:w="0" w:type="auto"/>
            <w:shd w:val="clear" w:color="auto" w:fill="auto"/>
            <w:vAlign w:val="center"/>
          </w:tcPr>
          <w:p w14:paraId="3FECDC5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太和县经济开发区管委会</w:t>
            </w:r>
          </w:p>
        </w:tc>
        <w:tc>
          <w:tcPr>
            <w:tcW w:w="0" w:type="auto"/>
            <w:shd w:val="clear" w:color="auto" w:fill="auto"/>
            <w:vAlign w:val="center"/>
          </w:tcPr>
          <w:p w14:paraId="2B6CFA5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1FE46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2FD6169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w:t>
            </w:r>
          </w:p>
        </w:tc>
        <w:tc>
          <w:tcPr>
            <w:tcW w:w="0" w:type="auto"/>
            <w:shd w:val="clear" w:color="auto" w:fill="auto"/>
            <w:vAlign w:val="center"/>
          </w:tcPr>
          <w:p w14:paraId="757979B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太和木艺特色产业园</w:t>
            </w:r>
          </w:p>
        </w:tc>
        <w:tc>
          <w:tcPr>
            <w:tcW w:w="0" w:type="auto"/>
            <w:shd w:val="clear" w:color="auto" w:fill="auto"/>
            <w:vAlign w:val="center"/>
          </w:tcPr>
          <w:p w14:paraId="3FFC9AC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太和县</w:t>
            </w:r>
          </w:p>
        </w:tc>
        <w:tc>
          <w:tcPr>
            <w:tcW w:w="0" w:type="auto"/>
            <w:shd w:val="clear" w:color="auto" w:fill="auto"/>
            <w:vAlign w:val="center"/>
          </w:tcPr>
          <w:p w14:paraId="601088B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20409ED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计划工业用地约1760亩，计划总投资30亿人民币，建设周期5年，分三期建设。该项目将以设计、研发、生产、销售、体验、展览、物流、人才培训等为一体的大型木艺家居产业园，打造兼具生态、智能、科技的商贸产业集聚中心。项目主要包括：研发设计中心、生产制造中心、国际家具博览中心、家居体验中心、办公商务中心、物流集散中心、生活商住配套区等。以构建产业集群、创业服务、商务办公、金融资本、会展商贸、人才居住</w:t>
            </w:r>
          </w:p>
        </w:tc>
        <w:tc>
          <w:tcPr>
            <w:tcW w:w="876" w:type="dxa"/>
            <w:shd w:val="clear" w:color="auto" w:fill="auto"/>
            <w:vAlign w:val="center"/>
          </w:tcPr>
          <w:p w14:paraId="5FD5DB0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30</w:t>
            </w:r>
          </w:p>
        </w:tc>
        <w:tc>
          <w:tcPr>
            <w:tcW w:w="1787" w:type="dxa"/>
            <w:shd w:val="clear" w:color="auto" w:fill="auto"/>
            <w:vAlign w:val="center"/>
          </w:tcPr>
          <w:p w14:paraId="6039262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江西汇明生态家居科技有限公司</w:t>
            </w:r>
          </w:p>
        </w:tc>
        <w:tc>
          <w:tcPr>
            <w:tcW w:w="0" w:type="auto"/>
            <w:shd w:val="clear" w:color="auto" w:fill="auto"/>
            <w:vAlign w:val="center"/>
          </w:tcPr>
          <w:p w14:paraId="4869BBD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安徽太和经济开发区管理委员会</w:t>
            </w:r>
          </w:p>
        </w:tc>
        <w:tc>
          <w:tcPr>
            <w:tcW w:w="0" w:type="auto"/>
            <w:shd w:val="clear" w:color="auto" w:fill="auto"/>
            <w:vAlign w:val="center"/>
          </w:tcPr>
          <w:p w14:paraId="3AC9849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03434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0" w:type="auto"/>
            <w:gridSpan w:val="9"/>
            <w:shd w:val="clear" w:color="auto" w:fill="auto"/>
            <w:vAlign w:val="center"/>
          </w:tcPr>
          <w:p w14:paraId="0B141F05">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阜南县13个，总投资330.8亿元</w:t>
            </w:r>
          </w:p>
        </w:tc>
      </w:tr>
      <w:tr w14:paraId="21C76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0" w:type="auto"/>
            <w:shd w:val="clear" w:color="auto" w:fill="auto"/>
            <w:vAlign w:val="center"/>
          </w:tcPr>
          <w:p w14:paraId="6F5F342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w:t>
            </w:r>
          </w:p>
        </w:tc>
        <w:tc>
          <w:tcPr>
            <w:tcW w:w="0" w:type="auto"/>
            <w:shd w:val="clear" w:color="auto" w:fill="auto"/>
            <w:vAlign w:val="center"/>
          </w:tcPr>
          <w:p w14:paraId="16C42A2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双创产业园建设项目</w:t>
            </w:r>
          </w:p>
        </w:tc>
        <w:tc>
          <w:tcPr>
            <w:tcW w:w="0" w:type="auto"/>
            <w:shd w:val="clear" w:color="auto" w:fill="auto"/>
            <w:vAlign w:val="center"/>
          </w:tcPr>
          <w:p w14:paraId="7CBBF2C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w:t>
            </w:r>
          </w:p>
        </w:tc>
        <w:tc>
          <w:tcPr>
            <w:tcW w:w="0" w:type="auto"/>
            <w:shd w:val="clear" w:color="auto" w:fill="auto"/>
            <w:vAlign w:val="center"/>
          </w:tcPr>
          <w:p w14:paraId="38F5BAA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32FEEF5B">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总建筑面积66.2万平方米，建设标准化厂房、电子商务中心、研发中心及配套用房等</w:t>
            </w:r>
          </w:p>
        </w:tc>
        <w:tc>
          <w:tcPr>
            <w:tcW w:w="876" w:type="dxa"/>
            <w:shd w:val="clear" w:color="auto" w:fill="auto"/>
            <w:vAlign w:val="center"/>
          </w:tcPr>
          <w:p w14:paraId="06EFF68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10.2</w:t>
            </w:r>
          </w:p>
        </w:tc>
        <w:tc>
          <w:tcPr>
            <w:tcW w:w="1787" w:type="dxa"/>
            <w:shd w:val="clear" w:color="auto" w:fill="auto"/>
            <w:vAlign w:val="center"/>
          </w:tcPr>
          <w:p w14:paraId="1B9C835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阜南经济开发区管委会</w:t>
            </w:r>
          </w:p>
        </w:tc>
        <w:tc>
          <w:tcPr>
            <w:tcW w:w="0" w:type="auto"/>
            <w:shd w:val="clear" w:color="auto" w:fill="auto"/>
            <w:vAlign w:val="center"/>
          </w:tcPr>
          <w:p w14:paraId="11D4B2E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阜南经济开发区管委会</w:t>
            </w:r>
          </w:p>
        </w:tc>
        <w:tc>
          <w:tcPr>
            <w:tcW w:w="0" w:type="auto"/>
            <w:shd w:val="clear" w:color="auto" w:fill="auto"/>
            <w:vAlign w:val="center"/>
          </w:tcPr>
          <w:p w14:paraId="77A37B2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3BD32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95" w:hRule="atLeast"/>
        </w:trPr>
        <w:tc>
          <w:tcPr>
            <w:tcW w:w="0" w:type="auto"/>
            <w:shd w:val="clear" w:color="auto" w:fill="auto"/>
            <w:vAlign w:val="center"/>
          </w:tcPr>
          <w:p w14:paraId="19B11CF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w:t>
            </w:r>
          </w:p>
        </w:tc>
        <w:tc>
          <w:tcPr>
            <w:tcW w:w="0" w:type="auto"/>
            <w:shd w:val="clear" w:color="auto" w:fill="auto"/>
            <w:vAlign w:val="center"/>
          </w:tcPr>
          <w:p w14:paraId="6097803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阜南经济开发区纺织服装产业园</w:t>
            </w:r>
          </w:p>
        </w:tc>
        <w:tc>
          <w:tcPr>
            <w:tcW w:w="0" w:type="auto"/>
            <w:shd w:val="clear" w:color="auto" w:fill="auto"/>
            <w:vAlign w:val="center"/>
          </w:tcPr>
          <w:p w14:paraId="157B51A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w:t>
            </w:r>
          </w:p>
        </w:tc>
        <w:tc>
          <w:tcPr>
            <w:tcW w:w="0" w:type="auto"/>
            <w:shd w:val="clear" w:color="auto" w:fill="auto"/>
            <w:vAlign w:val="center"/>
          </w:tcPr>
          <w:p w14:paraId="0059E86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328B6671">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总建筑面积26.7万平方米，主要建设标准化厂房、办公楼及管理用房、配电房等附属设施</w:t>
            </w:r>
          </w:p>
        </w:tc>
        <w:tc>
          <w:tcPr>
            <w:tcW w:w="876" w:type="dxa"/>
            <w:shd w:val="clear" w:color="auto" w:fill="auto"/>
            <w:vAlign w:val="center"/>
          </w:tcPr>
          <w:p w14:paraId="260D9A5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17.6</w:t>
            </w:r>
          </w:p>
        </w:tc>
        <w:tc>
          <w:tcPr>
            <w:tcW w:w="1787" w:type="dxa"/>
            <w:shd w:val="clear" w:color="auto" w:fill="auto"/>
            <w:vAlign w:val="center"/>
          </w:tcPr>
          <w:p w14:paraId="11718E4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阜南县经济开发区管委会</w:t>
            </w:r>
          </w:p>
        </w:tc>
        <w:tc>
          <w:tcPr>
            <w:tcW w:w="0" w:type="auto"/>
            <w:shd w:val="clear" w:color="auto" w:fill="auto"/>
            <w:vAlign w:val="center"/>
          </w:tcPr>
          <w:p w14:paraId="01F1671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阜南县经济开发区管委会</w:t>
            </w:r>
          </w:p>
        </w:tc>
        <w:tc>
          <w:tcPr>
            <w:tcW w:w="0" w:type="auto"/>
            <w:shd w:val="clear" w:color="auto" w:fill="auto"/>
            <w:vAlign w:val="center"/>
          </w:tcPr>
          <w:p w14:paraId="631B7EB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74338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0" w:type="auto"/>
            <w:shd w:val="clear" w:color="auto" w:fill="auto"/>
            <w:vAlign w:val="center"/>
          </w:tcPr>
          <w:p w14:paraId="7E0B83C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w:t>
            </w:r>
          </w:p>
        </w:tc>
        <w:tc>
          <w:tcPr>
            <w:tcW w:w="0" w:type="auto"/>
            <w:shd w:val="clear" w:color="auto" w:fill="auto"/>
            <w:vAlign w:val="center"/>
          </w:tcPr>
          <w:p w14:paraId="0229BD1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台商工业园机械制造项目</w:t>
            </w:r>
          </w:p>
        </w:tc>
        <w:tc>
          <w:tcPr>
            <w:tcW w:w="0" w:type="auto"/>
            <w:shd w:val="clear" w:color="auto" w:fill="auto"/>
            <w:vAlign w:val="center"/>
          </w:tcPr>
          <w:p w14:paraId="6264E13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w:t>
            </w:r>
          </w:p>
        </w:tc>
        <w:tc>
          <w:tcPr>
            <w:tcW w:w="0" w:type="auto"/>
            <w:shd w:val="clear" w:color="auto" w:fill="auto"/>
            <w:vAlign w:val="center"/>
          </w:tcPr>
          <w:p w14:paraId="6BF11DB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5893E330">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总建设面积5万平方米，建设生产厂房、辅助用房，配套消防、变电、照明等辅助设施</w:t>
            </w:r>
          </w:p>
        </w:tc>
        <w:tc>
          <w:tcPr>
            <w:tcW w:w="876" w:type="dxa"/>
            <w:shd w:val="clear" w:color="auto" w:fill="auto"/>
            <w:vAlign w:val="center"/>
          </w:tcPr>
          <w:p w14:paraId="1A1F7AD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5E2DF52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东莞市精密机械有限公司</w:t>
            </w:r>
          </w:p>
        </w:tc>
        <w:tc>
          <w:tcPr>
            <w:tcW w:w="0" w:type="auto"/>
            <w:shd w:val="clear" w:color="auto" w:fill="auto"/>
            <w:vAlign w:val="center"/>
          </w:tcPr>
          <w:p w14:paraId="6D771E8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阜南经开区管委会</w:t>
            </w:r>
          </w:p>
        </w:tc>
        <w:tc>
          <w:tcPr>
            <w:tcW w:w="0" w:type="auto"/>
            <w:shd w:val="clear" w:color="auto" w:fill="auto"/>
            <w:vAlign w:val="center"/>
          </w:tcPr>
          <w:p w14:paraId="1732696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2CD94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5" w:hRule="atLeast"/>
        </w:trPr>
        <w:tc>
          <w:tcPr>
            <w:tcW w:w="0" w:type="auto"/>
            <w:shd w:val="clear" w:color="auto" w:fill="auto"/>
            <w:vAlign w:val="center"/>
          </w:tcPr>
          <w:p w14:paraId="69FBDB0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4</w:t>
            </w:r>
          </w:p>
        </w:tc>
        <w:tc>
          <w:tcPr>
            <w:tcW w:w="0" w:type="auto"/>
            <w:shd w:val="clear" w:color="auto" w:fill="auto"/>
            <w:vAlign w:val="center"/>
          </w:tcPr>
          <w:p w14:paraId="7AD0047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三峡能源阜阳南部风光电基地（阜南）风电项目</w:t>
            </w:r>
          </w:p>
        </w:tc>
        <w:tc>
          <w:tcPr>
            <w:tcW w:w="0" w:type="auto"/>
            <w:shd w:val="clear" w:color="auto" w:fill="auto"/>
            <w:vAlign w:val="center"/>
          </w:tcPr>
          <w:p w14:paraId="691F5BD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w:t>
            </w:r>
          </w:p>
        </w:tc>
        <w:tc>
          <w:tcPr>
            <w:tcW w:w="0" w:type="auto"/>
            <w:shd w:val="clear" w:color="auto" w:fill="auto"/>
            <w:vAlign w:val="center"/>
          </w:tcPr>
          <w:p w14:paraId="40203BC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736AEDDC">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规划装机容量300MW，并建设一座220kV升压站，拟接入董庄变，项目选址位于阜南县张寨镇、朱寨镇、焦陂镇、王化镇、苗集镇、段郢乡等乡镇境内</w:t>
            </w:r>
          </w:p>
        </w:tc>
        <w:tc>
          <w:tcPr>
            <w:tcW w:w="876" w:type="dxa"/>
            <w:shd w:val="clear" w:color="auto" w:fill="auto"/>
            <w:vAlign w:val="center"/>
          </w:tcPr>
          <w:p w14:paraId="154EF76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25</w:t>
            </w:r>
          </w:p>
        </w:tc>
        <w:tc>
          <w:tcPr>
            <w:tcW w:w="1787" w:type="dxa"/>
            <w:shd w:val="clear" w:color="auto" w:fill="auto"/>
            <w:vAlign w:val="center"/>
          </w:tcPr>
          <w:p w14:paraId="44BFF06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中国三峡新能源（集团）股份有限公司</w:t>
            </w:r>
          </w:p>
        </w:tc>
        <w:tc>
          <w:tcPr>
            <w:tcW w:w="0" w:type="auto"/>
            <w:shd w:val="clear" w:color="auto" w:fill="auto"/>
            <w:vAlign w:val="center"/>
          </w:tcPr>
          <w:p w14:paraId="09C4CCE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阜南县发改委</w:t>
            </w:r>
          </w:p>
        </w:tc>
        <w:tc>
          <w:tcPr>
            <w:tcW w:w="0" w:type="auto"/>
            <w:shd w:val="clear" w:color="auto" w:fill="auto"/>
            <w:vAlign w:val="center"/>
          </w:tcPr>
          <w:p w14:paraId="136C8F7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12CFE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1681B85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w:t>
            </w:r>
          </w:p>
        </w:tc>
        <w:tc>
          <w:tcPr>
            <w:tcW w:w="0" w:type="auto"/>
            <w:shd w:val="clear" w:color="auto" w:fill="auto"/>
            <w:vAlign w:val="center"/>
          </w:tcPr>
          <w:p w14:paraId="5F886DD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食用菌产业发展基地</w:t>
            </w:r>
          </w:p>
        </w:tc>
        <w:tc>
          <w:tcPr>
            <w:tcW w:w="0" w:type="auto"/>
            <w:shd w:val="clear" w:color="auto" w:fill="auto"/>
            <w:vAlign w:val="center"/>
          </w:tcPr>
          <w:p w14:paraId="0296694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w:t>
            </w:r>
          </w:p>
        </w:tc>
        <w:tc>
          <w:tcPr>
            <w:tcW w:w="0" w:type="auto"/>
            <w:shd w:val="clear" w:color="auto" w:fill="auto"/>
            <w:vAlign w:val="center"/>
          </w:tcPr>
          <w:p w14:paraId="343F0C8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254E2D99">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总占地800亩，建设内容包括：1.安徽品品鲜生物科技有限公司占地204亩，总投资4.43亿元，年深加工3.7万吨食用菌建设项目；2.阜南联美农产品有限公司二期1.16亿；3.食用菌研发中心，占地60亩，投资1个亿包括食药用菌菌棒标准化生产基地、名贵食药用菌工厂化生产示范基地、食药用菌主题科普馆及体验馆、专家工作等；4.食用菌工厂化生产基地占地4.6亩，投资13.41亿元</w:t>
            </w:r>
          </w:p>
        </w:tc>
        <w:tc>
          <w:tcPr>
            <w:tcW w:w="876" w:type="dxa"/>
            <w:shd w:val="clear" w:color="auto" w:fill="auto"/>
            <w:vAlign w:val="center"/>
          </w:tcPr>
          <w:p w14:paraId="34EDB3C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w:t>
            </w:r>
          </w:p>
        </w:tc>
        <w:tc>
          <w:tcPr>
            <w:tcW w:w="1787" w:type="dxa"/>
            <w:shd w:val="clear" w:color="auto" w:fill="auto"/>
            <w:vAlign w:val="center"/>
          </w:tcPr>
          <w:p w14:paraId="32F97B3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阜南县现代高效循环农业产业园建设运营中心</w:t>
            </w:r>
          </w:p>
        </w:tc>
        <w:tc>
          <w:tcPr>
            <w:tcW w:w="0" w:type="auto"/>
            <w:shd w:val="clear" w:color="auto" w:fill="auto"/>
            <w:vAlign w:val="center"/>
          </w:tcPr>
          <w:p w14:paraId="4A331F9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阜南县现代高效循环农业产业园建设运营中心</w:t>
            </w:r>
          </w:p>
        </w:tc>
        <w:tc>
          <w:tcPr>
            <w:tcW w:w="0" w:type="auto"/>
            <w:shd w:val="clear" w:color="auto" w:fill="auto"/>
            <w:vAlign w:val="center"/>
          </w:tcPr>
          <w:p w14:paraId="639A05A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76AB7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363BA67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6</w:t>
            </w:r>
          </w:p>
        </w:tc>
        <w:tc>
          <w:tcPr>
            <w:tcW w:w="0" w:type="auto"/>
            <w:shd w:val="clear" w:color="auto" w:fill="auto"/>
            <w:vAlign w:val="center"/>
          </w:tcPr>
          <w:p w14:paraId="75DEE37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安徽澳威激光器件</w:t>
            </w:r>
          </w:p>
        </w:tc>
        <w:tc>
          <w:tcPr>
            <w:tcW w:w="0" w:type="auto"/>
            <w:shd w:val="clear" w:color="auto" w:fill="auto"/>
            <w:vAlign w:val="center"/>
          </w:tcPr>
          <w:p w14:paraId="7678F36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w:t>
            </w:r>
          </w:p>
        </w:tc>
        <w:tc>
          <w:tcPr>
            <w:tcW w:w="0" w:type="auto"/>
            <w:shd w:val="clear" w:color="auto" w:fill="auto"/>
            <w:vAlign w:val="center"/>
          </w:tcPr>
          <w:p w14:paraId="02904C7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1CCF0469">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项目前期租赁工业厂房10000平方米先投入生产，同时选取阜南县开发区提供的约200亩工业用地作为自己的生产基地，建设激光科技产业中心、激光科技研发中心、激光技术应用相关展馆、院士专家工作站等</w:t>
            </w:r>
          </w:p>
        </w:tc>
        <w:tc>
          <w:tcPr>
            <w:tcW w:w="876" w:type="dxa"/>
            <w:shd w:val="clear" w:color="auto" w:fill="auto"/>
            <w:vAlign w:val="center"/>
          </w:tcPr>
          <w:p w14:paraId="30AE2DF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w:t>
            </w:r>
          </w:p>
        </w:tc>
        <w:tc>
          <w:tcPr>
            <w:tcW w:w="1787" w:type="dxa"/>
            <w:shd w:val="clear" w:color="auto" w:fill="auto"/>
            <w:vAlign w:val="center"/>
          </w:tcPr>
          <w:p w14:paraId="132ABA6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西安澳威激光器件有限公司</w:t>
            </w:r>
          </w:p>
        </w:tc>
        <w:tc>
          <w:tcPr>
            <w:tcW w:w="0" w:type="auto"/>
            <w:shd w:val="clear" w:color="auto" w:fill="auto"/>
            <w:vAlign w:val="center"/>
          </w:tcPr>
          <w:p w14:paraId="2D15A59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阜南经开区管委会</w:t>
            </w:r>
          </w:p>
        </w:tc>
        <w:tc>
          <w:tcPr>
            <w:tcW w:w="0" w:type="auto"/>
            <w:shd w:val="clear" w:color="auto" w:fill="auto"/>
            <w:vAlign w:val="center"/>
          </w:tcPr>
          <w:p w14:paraId="03E8F9D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718C5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0" w:type="auto"/>
            <w:shd w:val="clear" w:color="auto" w:fill="auto"/>
            <w:vAlign w:val="center"/>
          </w:tcPr>
          <w:p w14:paraId="7A7BDFC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7</w:t>
            </w:r>
          </w:p>
        </w:tc>
        <w:tc>
          <w:tcPr>
            <w:tcW w:w="0" w:type="auto"/>
            <w:shd w:val="clear" w:color="auto" w:fill="auto"/>
            <w:vAlign w:val="center"/>
          </w:tcPr>
          <w:p w14:paraId="3501A1F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鲁花花生油加工项目</w:t>
            </w:r>
          </w:p>
        </w:tc>
        <w:tc>
          <w:tcPr>
            <w:tcW w:w="0" w:type="auto"/>
            <w:shd w:val="clear" w:color="auto" w:fill="auto"/>
            <w:vAlign w:val="center"/>
          </w:tcPr>
          <w:p w14:paraId="446A7C6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w:t>
            </w:r>
          </w:p>
        </w:tc>
        <w:tc>
          <w:tcPr>
            <w:tcW w:w="0" w:type="auto"/>
            <w:shd w:val="clear" w:color="auto" w:fill="auto"/>
            <w:vAlign w:val="center"/>
          </w:tcPr>
          <w:p w14:paraId="0BC01A2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23EA2623">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项目占地100亩，规划建筑面积4万平方米，配套服务设施面积0.5万平方米，购置工业先进的油脂生产流水线及辅助设施</w:t>
            </w:r>
          </w:p>
        </w:tc>
        <w:tc>
          <w:tcPr>
            <w:tcW w:w="876" w:type="dxa"/>
            <w:shd w:val="clear" w:color="auto" w:fill="auto"/>
            <w:vAlign w:val="center"/>
          </w:tcPr>
          <w:p w14:paraId="7A00E1D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18</w:t>
            </w:r>
          </w:p>
        </w:tc>
        <w:tc>
          <w:tcPr>
            <w:tcW w:w="1787" w:type="dxa"/>
            <w:shd w:val="clear" w:color="auto" w:fill="auto"/>
            <w:vAlign w:val="center"/>
          </w:tcPr>
          <w:p w14:paraId="17F9EDB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山东鲁花集团</w:t>
            </w:r>
          </w:p>
        </w:tc>
        <w:tc>
          <w:tcPr>
            <w:tcW w:w="0" w:type="auto"/>
            <w:shd w:val="clear" w:color="auto" w:fill="auto"/>
            <w:vAlign w:val="center"/>
          </w:tcPr>
          <w:p w14:paraId="3568034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阜南县商务粮食局</w:t>
            </w:r>
          </w:p>
        </w:tc>
        <w:tc>
          <w:tcPr>
            <w:tcW w:w="0" w:type="auto"/>
            <w:shd w:val="clear" w:color="auto" w:fill="auto"/>
            <w:vAlign w:val="center"/>
          </w:tcPr>
          <w:p w14:paraId="7FABA8E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79A0F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0" w:type="auto"/>
            <w:shd w:val="clear" w:color="auto" w:fill="auto"/>
            <w:vAlign w:val="center"/>
          </w:tcPr>
          <w:p w14:paraId="4BFA172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8</w:t>
            </w:r>
          </w:p>
        </w:tc>
        <w:tc>
          <w:tcPr>
            <w:tcW w:w="0" w:type="auto"/>
            <w:shd w:val="clear" w:color="auto" w:fill="auto"/>
            <w:vAlign w:val="center"/>
          </w:tcPr>
          <w:p w14:paraId="3439D1C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京九新区一期工业基础设施建设项目</w:t>
            </w:r>
          </w:p>
        </w:tc>
        <w:tc>
          <w:tcPr>
            <w:tcW w:w="0" w:type="auto"/>
            <w:shd w:val="clear" w:color="auto" w:fill="auto"/>
            <w:vAlign w:val="center"/>
          </w:tcPr>
          <w:p w14:paraId="6851AFF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w:t>
            </w:r>
          </w:p>
        </w:tc>
        <w:tc>
          <w:tcPr>
            <w:tcW w:w="0" w:type="auto"/>
            <w:shd w:val="clear" w:color="auto" w:fill="auto"/>
            <w:vAlign w:val="center"/>
          </w:tcPr>
          <w:p w14:paraId="36A1ADC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21CABE75">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总控规面积6.41平方公里，实现“五通一平”，建设工业标准厂房，配套商贸中心、物流集散中心、科技孵化中心、技术研发中心等生产生活性服务业</w:t>
            </w:r>
          </w:p>
        </w:tc>
        <w:tc>
          <w:tcPr>
            <w:tcW w:w="876" w:type="dxa"/>
            <w:shd w:val="clear" w:color="auto" w:fill="auto"/>
            <w:vAlign w:val="center"/>
          </w:tcPr>
          <w:p w14:paraId="5AF5774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45</w:t>
            </w:r>
          </w:p>
        </w:tc>
        <w:tc>
          <w:tcPr>
            <w:tcW w:w="1787" w:type="dxa"/>
            <w:shd w:val="clear" w:color="auto" w:fill="auto"/>
            <w:vAlign w:val="center"/>
          </w:tcPr>
          <w:p w14:paraId="32E1436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安徽阜南经济开发区管委会</w:t>
            </w:r>
          </w:p>
        </w:tc>
        <w:tc>
          <w:tcPr>
            <w:tcW w:w="0" w:type="auto"/>
            <w:shd w:val="clear" w:color="auto" w:fill="auto"/>
            <w:vAlign w:val="center"/>
          </w:tcPr>
          <w:p w14:paraId="1FD4481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经信局</w:t>
            </w:r>
          </w:p>
        </w:tc>
        <w:tc>
          <w:tcPr>
            <w:tcW w:w="0" w:type="auto"/>
            <w:shd w:val="clear" w:color="auto" w:fill="auto"/>
            <w:vAlign w:val="center"/>
          </w:tcPr>
          <w:p w14:paraId="22A0999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769CC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95" w:hRule="atLeast"/>
        </w:trPr>
        <w:tc>
          <w:tcPr>
            <w:tcW w:w="0" w:type="auto"/>
            <w:shd w:val="clear" w:color="auto" w:fill="auto"/>
            <w:vAlign w:val="center"/>
          </w:tcPr>
          <w:p w14:paraId="3315E6B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9</w:t>
            </w:r>
          </w:p>
        </w:tc>
        <w:tc>
          <w:tcPr>
            <w:tcW w:w="0" w:type="auto"/>
            <w:shd w:val="clear" w:color="auto" w:fill="auto"/>
            <w:vAlign w:val="center"/>
          </w:tcPr>
          <w:p w14:paraId="3568C39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科技创新产业园建设项目</w:t>
            </w:r>
          </w:p>
        </w:tc>
        <w:tc>
          <w:tcPr>
            <w:tcW w:w="0" w:type="auto"/>
            <w:shd w:val="clear" w:color="auto" w:fill="auto"/>
            <w:vAlign w:val="center"/>
          </w:tcPr>
          <w:p w14:paraId="488AAC3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w:t>
            </w:r>
          </w:p>
        </w:tc>
        <w:tc>
          <w:tcPr>
            <w:tcW w:w="0" w:type="auto"/>
            <w:shd w:val="clear" w:color="auto" w:fill="auto"/>
            <w:vAlign w:val="center"/>
          </w:tcPr>
          <w:p w14:paraId="54EC59D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0D4A85A6">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总建筑面积42.3万平方米，建设标准化厂房、研发楼，配套服务设施</w:t>
            </w:r>
          </w:p>
        </w:tc>
        <w:tc>
          <w:tcPr>
            <w:tcW w:w="876" w:type="dxa"/>
            <w:shd w:val="clear" w:color="auto" w:fill="auto"/>
            <w:vAlign w:val="center"/>
          </w:tcPr>
          <w:p w14:paraId="4B3A170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14</w:t>
            </w:r>
          </w:p>
        </w:tc>
        <w:tc>
          <w:tcPr>
            <w:tcW w:w="1787" w:type="dxa"/>
            <w:shd w:val="clear" w:color="auto" w:fill="auto"/>
            <w:vAlign w:val="center"/>
          </w:tcPr>
          <w:p w14:paraId="33CA1D9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安徽阜南县工业园开发投资有限公司</w:t>
            </w:r>
          </w:p>
        </w:tc>
        <w:tc>
          <w:tcPr>
            <w:tcW w:w="0" w:type="auto"/>
            <w:shd w:val="clear" w:color="auto" w:fill="auto"/>
            <w:vAlign w:val="center"/>
          </w:tcPr>
          <w:p w14:paraId="6EA450C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阜南经济开发区管理委员会</w:t>
            </w:r>
          </w:p>
        </w:tc>
        <w:tc>
          <w:tcPr>
            <w:tcW w:w="0" w:type="auto"/>
            <w:shd w:val="clear" w:color="auto" w:fill="auto"/>
            <w:vAlign w:val="center"/>
          </w:tcPr>
          <w:p w14:paraId="6B4D93C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229C8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5" w:hRule="atLeast"/>
        </w:trPr>
        <w:tc>
          <w:tcPr>
            <w:tcW w:w="0" w:type="auto"/>
            <w:shd w:val="clear" w:color="auto" w:fill="auto"/>
            <w:vAlign w:val="center"/>
          </w:tcPr>
          <w:p w14:paraId="2AE2F0B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0" w:type="auto"/>
            <w:shd w:val="clear" w:color="auto" w:fill="auto"/>
            <w:vAlign w:val="center"/>
          </w:tcPr>
          <w:p w14:paraId="7F795FD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安徽鼎层特种玻璃科技有限公司年产90万平方米高硼硅防火玻璃及异型玻璃生产项目</w:t>
            </w:r>
          </w:p>
        </w:tc>
        <w:tc>
          <w:tcPr>
            <w:tcW w:w="0" w:type="auto"/>
            <w:shd w:val="clear" w:color="auto" w:fill="auto"/>
            <w:vAlign w:val="center"/>
          </w:tcPr>
          <w:p w14:paraId="68140AB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w:t>
            </w:r>
          </w:p>
        </w:tc>
        <w:tc>
          <w:tcPr>
            <w:tcW w:w="0" w:type="auto"/>
            <w:shd w:val="clear" w:color="auto" w:fill="auto"/>
            <w:vAlign w:val="center"/>
          </w:tcPr>
          <w:p w14:paraId="4E8B036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3CEF0DD0">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占地800亩，规划建筑面积54.76万平方米，建设24吨5.0中性药用包装玻璃生产线16条，35吨TFT基板玻璃生产线2条，购置年产55000吨5.0药用包装玻璃成品深加工生产线，年产90万平方高硼硅防火玻璃及异型玻璃生产线</w:t>
            </w:r>
          </w:p>
        </w:tc>
        <w:tc>
          <w:tcPr>
            <w:tcW w:w="876" w:type="dxa"/>
            <w:shd w:val="clear" w:color="auto" w:fill="auto"/>
            <w:vAlign w:val="center"/>
          </w:tcPr>
          <w:p w14:paraId="4662A6F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21</w:t>
            </w:r>
          </w:p>
        </w:tc>
        <w:tc>
          <w:tcPr>
            <w:tcW w:w="1787" w:type="dxa"/>
            <w:shd w:val="clear" w:color="auto" w:fill="auto"/>
            <w:vAlign w:val="center"/>
          </w:tcPr>
          <w:p w14:paraId="7DAD58B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安徽鼎层特种玻璃科技有限公司</w:t>
            </w:r>
          </w:p>
        </w:tc>
        <w:tc>
          <w:tcPr>
            <w:tcW w:w="0" w:type="auto"/>
            <w:shd w:val="clear" w:color="auto" w:fill="auto"/>
            <w:vAlign w:val="center"/>
          </w:tcPr>
          <w:p w14:paraId="33E044E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阜南县经信局</w:t>
            </w:r>
          </w:p>
        </w:tc>
        <w:tc>
          <w:tcPr>
            <w:tcW w:w="0" w:type="auto"/>
            <w:shd w:val="clear" w:color="auto" w:fill="auto"/>
            <w:vAlign w:val="center"/>
          </w:tcPr>
          <w:p w14:paraId="1CB81C3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18EC7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5A35BAC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11</w:t>
            </w:r>
          </w:p>
        </w:tc>
        <w:tc>
          <w:tcPr>
            <w:tcW w:w="0" w:type="auto"/>
            <w:shd w:val="clear" w:color="auto" w:fill="auto"/>
            <w:vAlign w:val="center"/>
          </w:tcPr>
          <w:p w14:paraId="2E9A661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龙王乡工业园区建设项目</w:t>
            </w:r>
          </w:p>
        </w:tc>
        <w:tc>
          <w:tcPr>
            <w:tcW w:w="0" w:type="auto"/>
            <w:shd w:val="clear" w:color="auto" w:fill="auto"/>
            <w:vAlign w:val="center"/>
          </w:tcPr>
          <w:p w14:paraId="457A54C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w:t>
            </w:r>
          </w:p>
        </w:tc>
        <w:tc>
          <w:tcPr>
            <w:tcW w:w="0" w:type="auto"/>
            <w:shd w:val="clear" w:color="auto" w:fill="auto"/>
            <w:vAlign w:val="center"/>
          </w:tcPr>
          <w:p w14:paraId="28DB084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6783C185">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占地面积1825亩、修建道路等基础设施及建设部分厂房</w:t>
            </w:r>
          </w:p>
        </w:tc>
        <w:tc>
          <w:tcPr>
            <w:tcW w:w="876" w:type="dxa"/>
            <w:shd w:val="clear" w:color="auto" w:fill="auto"/>
            <w:vAlign w:val="center"/>
          </w:tcPr>
          <w:p w14:paraId="364B816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50</w:t>
            </w:r>
          </w:p>
        </w:tc>
        <w:tc>
          <w:tcPr>
            <w:tcW w:w="1787" w:type="dxa"/>
            <w:shd w:val="clear" w:color="auto" w:fill="auto"/>
            <w:vAlign w:val="center"/>
          </w:tcPr>
          <w:p w14:paraId="4D74D08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阜南县龙王乡政府</w:t>
            </w:r>
          </w:p>
        </w:tc>
        <w:tc>
          <w:tcPr>
            <w:tcW w:w="0" w:type="auto"/>
            <w:shd w:val="clear" w:color="auto" w:fill="auto"/>
            <w:vAlign w:val="center"/>
          </w:tcPr>
          <w:p w14:paraId="7DE5FAD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阜南县龙王乡政府</w:t>
            </w:r>
          </w:p>
        </w:tc>
        <w:tc>
          <w:tcPr>
            <w:tcW w:w="0" w:type="auto"/>
            <w:shd w:val="clear" w:color="auto" w:fill="auto"/>
            <w:vAlign w:val="center"/>
          </w:tcPr>
          <w:p w14:paraId="4EBBD19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0E4B4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32906EF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w:t>
            </w:r>
          </w:p>
        </w:tc>
        <w:tc>
          <w:tcPr>
            <w:tcW w:w="0" w:type="auto"/>
            <w:shd w:val="clear" w:color="auto" w:fill="auto"/>
            <w:vAlign w:val="center"/>
          </w:tcPr>
          <w:p w14:paraId="6C0F510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现代循环二产产业园</w:t>
            </w:r>
          </w:p>
        </w:tc>
        <w:tc>
          <w:tcPr>
            <w:tcW w:w="0" w:type="auto"/>
            <w:shd w:val="clear" w:color="auto" w:fill="auto"/>
            <w:vAlign w:val="center"/>
          </w:tcPr>
          <w:p w14:paraId="234551E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w:t>
            </w:r>
          </w:p>
        </w:tc>
        <w:tc>
          <w:tcPr>
            <w:tcW w:w="0" w:type="auto"/>
            <w:shd w:val="clear" w:color="auto" w:fill="auto"/>
            <w:vAlign w:val="center"/>
          </w:tcPr>
          <w:p w14:paraId="3A46D6B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277F1B85">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规划位于S318以南，S252以东，规划总面积约5000亩，其中一期3000亩。1.农副产品初加工区：规划面积500亩。2.食品加工区：规划面积1000亩3.农业装备制造区：规划面积800亩4.其他涉农企业区：规划面积700亩。总投资50亿元</w:t>
            </w:r>
          </w:p>
        </w:tc>
        <w:tc>
          <w:tcPr>
            <w:tcW w:w="876" w:type="dxa"/>
            <w:shd w:val="clear" w:color="auto" w:fill="auto"/>
            <w:vAlign w:val="center"/>
          </w:tcPr>
          <w:p w14:paraId="1834969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50</w:t>
            </w:r>
          </w:p>
        </w:tc>
        <w:tc>
          <w:tcPr>
            <w:tcW w:w="1787" w:type="dxa"/>
            <w:shd w:val="clear" w:color="auto" w:fill="auto"/>
            <w:vAlign w:val="center"/>
          </w:tcPr>
          <w:p w14:paraId="4CB103E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现代高效循环农业产业园建设运营中心</w:t>
            </w:r>
          </w:p>
        </w:tc>
        <w:tc>
          <w:tcPr>
            <w:tcW w:w="0" w:type="auto"/>
            <w:shd w:val="clear" w:color="auto" w:fill="auto"/>
            <w:vAlign w:val="center"/>
          </w:tcPr>
          <w:p w14:paraId="6BCD522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现代高效循环农业产业园建设运营中心</w:t>
            </w:r>
          </w:p>
        </w:tc>
        <w:tc>
          <w:tcPr>
            <w:tcW w:w="0" w:type="auto"/>
            <w:shd w:val="clear" w:color="auto" w:fill="auto"/>
            <w:vAlign w:val="center"/>
          </w:tcPr>
          <w:p w14:paraId="545E956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48335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65" w:hRule="atLeast"/>
        </w:trPr>
        <w:tc>
          <w:tcPr>
            <w:tcW w:w="0" w:type="auto"/>
            <w:shd w:val="clear" w:color="auto" w:fill="auto"/>
            <w:vAlign w:val="center"/>
          </w:tcPr>
          <w:p w14:paraId="1ED2088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13</w:t>
            </w:r>
          </w:p>
        </w:tc>
        <w:tc>
          <w:tcPr>
            <w:tcW w:w="0" w:type="auto"/>
            <w:shd w:val="clear" w:color="auto" w:fill="auto"/>
            <w:vAlign w:val="center"/>
          </w:tcPr>
          <w:p w14:paraId="32D886A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新农业科技产业园</w:t>
            </w:r>
          </w:p>
        </w:tc>
        <w:tc>
          <w:tcPr>
            <w:tcW w:w="0" w:type="auto"/>
            <w:shd w:val="clear" w:color="auto" w:fill="auto"/>
            <w:vAlign w:val="center"/>
          </w:tcPr>
          <w:p w14:paraId="37C3080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阜南县</w:t>
            </w:r>
          </w:p>
        </w:tc>
        <w:tc>
          <w:tcPr>
            <w:tcW w:w="0" w:type="auto"/>
            <w:shd w:val="clear" w:color="auto" w:fill="auto"/>
            <w:vAlign w:val="center"/>
          </w:tcPr>
          <w:p w14:paraId="7BD6A13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30548E80">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1132亩，容积率按1.3控制，计容建筑面积约98.15万㎡。建设内容包括农产品交易、营养餐智能生产基地、农副产品精深加工车间、农副产物综合利用车间等、农副产品原料供应基地、食品新产品中试与生产基地、粮油储备库/应急物资储备库、餐饮人才实训基地等</w:t>
            </w:r>
          </w:p>
        </w:tc>
        <w:tc>
          <w:tcPr>
            <w:tcW w:w="876" w:type="dxa"/>
            <w:shd w:val="clear" w:color="auto" w:fill="auto"/>
            <w:vAlign w:val="center"/>
          </w:tcPr>
          <w:p w14:paraId="50EE3CB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30</w:t>
            </w:r>
          </w:p>
        </w:tc>
        <w:tc>
          <w:tcPr>
            <w:tcW w:w="1787" w:type="dxa"/>
            <w:shd w:val="clear" w:color="auto" w:fill="auto"/>
            <w:vAlign w:val="center"/>
          </w:tcPr>
          <w:p w14:paraId="434DC54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安徽阜南经济开发区管理委员会</w:t>
            </w:r>
          </w:p>
        </w:tc>
        <w:tc>
          <w:tcPr>
            <w:tcW w:w="0" w:type="auto"/>
            <w:shd w:val="clear" w:color="auto" w:fill="auto"/>
            <w:vAlign w:val="center"/>
          </w:tcPr>
          <w:p w14:paraId="269FD45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安徽阜南经济开发区管理委员会</w:t>
            </w:r>
          </w:p>
        </w:tc>
        <w:tc>
          <w:tcPr>
            <w:tcW w:w="0" w:type="auto"/>
            <w:shd w:val="clear" w:color="auto" w:fill="auto"/>
            <w:vAlign w:val="center"/>
          </w:tcPr>
          <w:p w14:paraId="60594FD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46DFE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0" w:type="auto"/>
            <w:gridSpan w:val="9"/>
            <w:shd w:val="clear" w:color="auto" w:fill="auto"/>
            <w:vAlign w:val="center"/>
          </w:tcPr>
          <w:p w14:paraId="14614E48">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颍上县23个，总投资759.92亿元</w:t>
            </w:r>
          </w:p>
        </w:tc>
      </w:tr>
      <w:tr w14:paraId="547C8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6E2B419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w:t>
            </w:r>
          </w:p>
        </w:tc>
        <w:tc>
          <w:tcPr>
            <w:tcW w:w="0" w:type="auto"/>
            <w:shd w:val="clear" w:color="auto" w:fill="auto"/>
            <w:vAlign w:val="center"/>
          </w:tcPr>
          <w:p w14:paraId="6F84681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赛拉弗8GW光伏组件+18GWHJT电池片生产项目</w:t>
            </w:r>
          </w:p>
        </w:tc>
        <w:tc>
          <w:tcPr>
            <w:tcW w:w="0" w:type="auto"/>
            <w:shd w:val="clear" w:color="auto" w:fill="auto"/>
            <w:vAlign w:val="center"/>
          </w:tcPr>
          <w:p w14:paraId="423C58D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1490E1C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60C7C463">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占地850亩，投资建设光伏组件生产线及HJT电池片生产线。</w:t>
            </w:r>
          </w:p>
        </w:tc>
        <w:tc>
          <w:tcPr>
            <w:tcW w:w="876" w:type="dxa"/>
            <w:shd w:val="clear" w:color="auto" w:fill="auto"/>
            <w:vAlign w:val="center"/>
          </w:tcPr>
          <w:p w14:paraId="3EDD247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109</w:t>
            </w:r>
          </w:p>
        </w:tc>
        <w:tc>
          <w:tcPr>
            <w:tcW w:w="1787" w:type="dxa"/>
            <w:shd w:val="clear" w:color="auto" w:fill="auto"/>
            <w:vAlign w:val="center"/>
          </w:tcPr>
          <w:p w14:paraId="54E1C9A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安徽赛拉弗能源有限公司</w:t>
            </w:r>
          </w:p>
        </w:tc>
        <w:tc>
          <w:tcPr>
            <w:tcW w:w="0" w:type="auto"/>
            <w:shd w:val="clear" w:color="auto" w:fill="auto"/>
            <w:vAlign w:val="center"/>
          </w:tcPr>
          <w:p w14:paraId="1B7DFC9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颍上经开区管委会</w:t>
            </w:r>
          </w:p>
        </w:tc>
        <w:tc>
          <w:tcPr>
            <w:tcW w:w="0" w:type="auto"/>
            <w:shd w:val="clear" w:color="auto" w:fill="auto"/>
            <w:vAlign w:val="center"/>
          </w:tcPr>
          <w:p w14:paraId="6198B21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7634A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4C9FE23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w:t>
            </w:r>
          </w:p>
        </w:tc>
        <w:tc>
          <w:tcPr>
            <w:tcW w:w="0" w:type="auto"/>
            <w:shd w:val="clear" w:color="auto" w:fill="auto"/>
            <w:vAlign w:val="center"/>
          </w:tcPr>
          <w:p w14:paraId="260A64D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阜阳市颍上县清洁能源材料特色产业园项目</w:t>
            </w:r>
          </w:p>
        </w:tc>
        <w:tc>
          <w:tcPr>
            <w:tcW w:w="0" w:type="auto"/>
            <w:shd w:val="clear" w:color="auto" w:fill="auto"/>
            <w:vAlign w:val="center"/>
          </w:tcPr>
          <w:p w14:paraId="4653DE8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3F06659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326B46E4">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总建筑面积约50万平方米，包括工业标准厂房、食堂、公寓、办公等；配套建设园区路网、给排水等设施</w:t>
            </w:r>
          </w:p>
        </w:tc>
        <w:tc>
          <w:tcPr>
            <w:tcW w:w="876" w:type="dxa"/>
            <w:shd w:val="clear" w:color="auto" w:fill="auto"/>
            <w:vAlign w:val="center"/>
          </w:tcPr>
          <w:p w14:paraId="3FA134E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13.35</w:t>
            </w:r>
          </w:p>
        </w:tc>
        <w:tc>
          <w:tcPr>
            <w:tcW w:w="1787" w:type="dxa"/>
            <w:shd w:val="clear" w:color="auto" w:fill="auto"/>
            <w:vAlign w:val="center"/>
          </w:tcPr>
          <w:p w14:paraId="7457091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颍发投资管理有限公司</w:t>
            </w:r>
          </w:p>
        </w:tc>
        <w:tc>
          <w:tcPr>
            <w:tcW w:w="0" w:type="auto"/>
            <w:shd w:val="clear" w:color="auto" w:fill="auto"/>
            <w:vAlign w:val="center"/>
          </w:tcPr>
          <w:p w14:paraId="7A98049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颍上县经开区管委会</w:t>
            </w:r>
          </w:p>
        </w:tc>
        <w:tc>
          <w:tcPr>
            <w:tcW w:w="0" w:type="auto"/>
            <w:shd w:val="clear" w:color="auto" w:fill="auto"/>
            <w:vAlign w:val="center"/>
          </w:tcPr>
          <w:p w14:paraId="3491879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11ECA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47F050A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w:t>
            </w:r>
          </w:p>
        </w:tc>
        <w:tc>
          <w:tcPr>
            <w:tcW w:w="0" w:type="auto"/>
            <w:shd w:val="clear" w:color="auto" w:fill="auto"/>
            <w:vAlign w:val="center"/>
          </w:tcPr>
          <w:p w14:paraId="04F8F82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阜阳市颍上县产业园基础及服务配套工程项目（含农机大市场）</w:t>
            </w:r>
          </w:p>
        </w:tc>
        <w:tc>
          <w:tcPr>
            <w:tcW w:w="0" w:type="auto"/>
            <w:shd w:val="clear" w:color="auto" w:fill="auto"/>
            <w:vAlign w:val="center"/>
          </w:tcPr>
          <w:p w14:paraId="63AEA06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092D0BE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4EFDB3A7">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专项债项目，用地面积约1547.7亩，建筑面积约50.5万平方米。主要包括园区配套地表水厂一期工程、农机大市场一期工程、人才公寓工程、加油站工程、标准厂房工程及园区路网工程六部分</w:t>
            </w:r>
          </w:p>
        </w:tc>
        <w:tc>
          <w:tcPr>
            <w:tcW w:w="876" w:type="dxa"/>
            <w:shd w:val="clear" w:color="auto" w:fill="auto"/>
            <w:vAlign w:val="center"/>
          </w:tcPr>
          <w:p w14:paraId="782B80B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19.87</w:t>
            </w:r>
          </w:p>
        </w:tc>
        <w:tc>
          <w:tcPr>
            <w:tcW w:w="1787" w:type="dxa"/>
            <w:shd w:val="clear" w:color="auto" w:fill="auto"/>
            <w:vAlign w:val="center"/>
          </w:tcPr>
          <w:p w14:paraId="014D7D3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安徽颍发投资集团有限公司</w:t>
            </w:r>
          </w:p>
        </w:tc>
        <w:tc>
          <w:tcPr>
            <w:tcW w:w="0" w:type="auto"/>
            <w:shd w:val="clear" w:color="auto" w:fill="auto"/>
            <w:vAlign w:val="center"/>
          </w:tcPr>
          <w:p w14:paraId="5FCA025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安徽颍上经开区管委会</w:t>
            </w:r>
          </w:p>
        </w:tc>
        <w:tc>
          <w:tcPr>
            <w:tcW w:w="0" w:type="auto"/>
            <w:shd w:val="clear" w:color="auto" w:fill="auto"/>
            <w:vAlign w:val="center"/>
          </w:tcPr>
          <w:p w14:paraId="6F56CC8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01B98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0" w:type="auto"/>
            <w:shd w:val="clear" w:color="auto" w:fill="auto"/>
            <w:vAlign w:val="center"/>
          </w:tcPr>
          <w:p w14:paraId="61A5FA7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4</w:t>
            </w:r>
          </w:p>
        </w:tc>
        <w:tc>
          <w:tcPr>
            <w:tcW w:w="0" w:type="auto"/>
            <w:shd w:val="clear" w:color="auto" w:fill="auto"/>
            <w:vAlign w:val="center"/>
          </w:tcPr>
          <w:p w14:paraId="7E490AA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绿色装配式建筑产业园项目</w:t>
            </w:r>
          </w:p>
        </w:tc>
        <w:tc>
          <w:tcPr>
            <w:tcW w:w="0" w:type="auto"/>
            <w:shd w:val="clear" w:color="auto" w:fill="auto"/>
            <w:vAlign w:val="center"/>
          </w:tcPr>
          <w:p w14:paraId="6C70965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07DAACD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40D6B6E8">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总建筑面积约5０万平方米，建设生产厂房、综合用房及配套设施；购置钢结构装配式建筑部品部件、ＰＣ预制构件、钢结构智能制造及开平剪切、起重机制造等生产设备</w:t>
            </w:r>
          </w:p>
        </w:tc>
        <w:tc>
          <w:tcPr>
            <w:tcW w:w="876" w:type="dxa"/>
            <w:shd w:val="clear" w:color="auto" w:fill="auto"/>
            <w:vAlign w:val="center"/>
          </w:tcPr>
          <w:p w14:paraId="4676286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w:t>
            </w:r>
          </w:p>
        </w:tc>
        <w:tc>
          <w:tcPr>
            <w:tcW w:w="1787" w:type="dxa"/>
            <w:shd w:val="clear" w:color="auto" w:fill="auto"/>
            <w:vAlign w:val="center"/>
          </w:tcPr>
          <w:p w14:paraId="78CD305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颍上县盛鸿建筑科技有限公司</w:t>
            </w:r>
          </w:p>
        </w:tc>
        <w:tc>
          <w:tcPr>
            <w:tcW w:w="0" w:type="auto"/>
            <w:shd w:val="clear" w:color="auto" w:fill="auto"/>
            <w:vAlign w:val="center"/>
          </w:tcPr>
          <w:p w14:paraId="48CA18A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颍上经开区管委会</w:t>
            </w:r>
          </w:p>
        </w:tc>
        <w:tc>
          <w:tcPr>
            <w:tcW w:w="0" w:type="auto"/>
            <w:shd w:val="clear" w:color="auto" w:fill="auto"/>
            <w:vAlign w:val="center"/>
          </w:tcPr>
          <w:p w14:paraId="542C858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01381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6A8BDEA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w:t>
            </w:r>
          </w:p>
        </w:tc>
        <w:tc>
          <w:tcPr>
            <w:tcW w:w="0" w:type="auto"/>
            <w:shd w:val="clear" w:color="auto" w:fill="auto"/>
            <w:vAlign w:val="center"/>
          </w:tcPr>
          <w:p w14:paraId="672D33A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三峡能源阜阳市南部风光储基地（古城）项目</w:t>
            </w:r>
          </w:p>
        </w:tc>
        <w:tc>
          <w:tcPr>
            <w:tcW w:w="0" w:type="auto"/>
            <w:shd w:val="clear" w:color="auto" w:fill="auto"/>
            <w:vAlign w:val="center"/>
          </w:tcPr>
          <w:p w14:paraId="012A788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11144DF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0B63E4E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建设25万千瓦光伏发电设施及配套升压站、储能、运行管理用房等</w:t>
            </w:r>
          </w:p>
        </w:tc>
        <w:tc>
          <w:tcPr>
            <w:tcW w:w="876" w:type="dxa"/>
            <w:shd w:val="clear" w:color="auto" w:fill="auto"/>
            <w:vAlign w:val="center"/>
          </w:tcPr>
          <w:p w14:paraId="626F3E7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w:t>
            </w:r>
          </w:p>
        </w:tc>
        <w:tc>
          <w:tcPr>
            <w:tcW w:w="1787" w:type="dxa"/>
            <w:shd w:val="clear" w:color="auto" w:fill="auto"/>
            <w:vAlign w:val="center"/>
          </w:tcPr>
          <w:p w14:paraId="14C6BEB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彩峡颍上新能源有限公司</w:t>
            </w:r>
          </w:p>
        </w:tc>
        <w:tc>
          <w:tcPr>
            <w:tcW w:w="0" w:type="auto"/>
            <w:shd w:val="clear" w:color="auto" w:fill="auto"/>
            <w:vAlign w:val="center"/>
          </w:tcPr>
          <w:p w14:paraId="265C0C5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颍上县发改委</w:t>
            </w:r>
          </w:p>
        </w:tc>
        <w:tc>
          <w:tcPr>
            <w:tcW w:w="0" w:type="auto"/>
            <w:shd w:val="clear" w:color="auto" w:fill="auto"/>
            <w:vAlign w:val="center"/>
          </w:tcPr>
          <w:p w14:paraId="38422FE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65E70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7B4F670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6</w:t>
            </w:r>
          </w:p>
        </w:tc>
        <w:tc>
          <w:tcPr>
            <w:tcW w:w="0" w:type="auto"/>
            <w:shd w:val="clear" w:color="auto" w:fill="auto"/>
            <w:vAlign w:val="center"/>
          </w:tcPr>
          <w:p w14:paraId="59F3035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颍上风光发电项目</w:t>
            </w:r>
          </w:p>
        </w:tc>
        <w:tc>
          <w:tcPr>
            <w:tcW w:w="0" w:type="auto"/>
            <w:shd w:val="clear" w:color="auto" w:fill="auto"/>
            <w:vAlign w:val="center"/>
          </w:tcPr>
          <w:p w14:paraId="0D126E6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3F83226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063FFA5C">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总装机量265万千瓦（光伏发电240万千瓦，风力发电25万千瓦），其中彩峡颍上新能源有限公司建设40万千瓦光伏发电、25万千瓦风力发电</w:t>
            </w:r>
          </w:p>
        </w:tc>
        <w:tc>
          <w:tcPr>
            <w:tcW w:w="876" w:type="dxa"/>
            <w:shd w:val="clear" w:color="auto" w:fill="auto"/>
            <w:vAlign w:val="center"/>
          </w:tcPr>
          <w:p w14:paraId="6D75024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123</w:t>
            </w:r>
          </w:p>
        </w:tc>
        <w:tc>
          <w:tcPr>
            <w:tcW w:w="1787" w:type="dxa"/>
            <w:shd w:val="clear" w:color="auto" w:fill="auto"/>
            <w:vAlign w:val="center"/>
          </w:tcPr>
          <w:p w14:paraId="10D74D5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彩峡颍上新能源有限公司</w:t>
            </w:r>
          </w:p>
        </w:tc>
        <w:tc>
          <w:tcPr>
            <w:tcW w:w="0" w:type="auto"/>
            <w:shd w:val="clear" w:color="auto" w:fill="auto"/>
            <w:vAlign w:val="center"/>
          </w:tcPr>
          <w:p w14:paraId="62D8B87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颍上县发改委</w:t>
            </w:r>
          </w:p>
        </w:tc>
        <w:tc>
          <w:tcPr>
            <w:tcW w:w="0" w:type="auto"/>
            <w:shd w:val="clear" w:color="auto" w:fill="auto"/>
            <w:vAlign w:val="center"/>
          </w:tcPr>
          <w:p w14:paraId="4B3B468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0FFE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58F265B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7</w:t>
            </w:r>
          </w:p>
        </w:tc>
        <w:tc>
          <w:tcPr>
            <w:tcW w:w="0" w:type="auto"/>
            <w:shd w:val="clear" w:color="auto" w:fill="auto"/>
            <w:vAlign w:val="center"/>
          </w:tcPr>
          <w:p w14:paraId="42F9F48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年产400万套液晶显示模组与700万套电路板组件智能制造项目</w:t>
            </w:r>
          </w:p>
        </w:tc>
        <w:tc>
          <w:tcPr>
            <w:tcW w:w="0" w:type="auto"/>
            <w:shd w:val="clear" w:color="auto" w:fill="auto"/>
            <w:vAlign w:val="center"/>
          </w:tcPr>
          <w:p w14:paraId="64A3154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29DB88E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021C7AA2">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洁净厂房5.5万平方米，购置液晶显示模组生产线</w:t>
            </w:r>
          </w:p>
        </w:tc>
        <w:tc>
          <w:tcPr>
            <w:tcW w:w="876" w:type="dxa"/>
            <w:shd w:val="clear" w:color="auto" w:fill="auto"/>
            <w:vAlign w:val="center"/>
          </w:tcPr>
          <w:p w14:paraId="1E918B6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2C5D990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利满控股有限公司(香港)</w:t>
            </w:r>
          </w:p>
        </w:tc>
        <w:tc>
          <w:tcPr>
            <w:tcW w:w="0" w:type="auto"/>
            <w:shd w:val="clear" w:color="auto" w:fill="auto"/>
            <w:vAlign w:val="center"/>
          </w:tcPr>
          <w:p w14:paraId="23A4A31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颍上经开区管委会</w:t>
            </w:r>
          </w:p>
        </w:tc>
        <w:tc>
          <w:tcPr>
            <w:tcW w:w="0" w:type="auto"/>
            <w:shd w:val="clear" w:color="auto" w:fill="auto"/>
            <w:vAlign w:val="center"/>
          </w:tcPr>
          <w:p w14:paraId="7A696ED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0EC33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7C799E7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8</w:t>
            </w:r>
          </w:p>
        </w:tc>
        <w:tc>
          <w:tcPr>
            <w:tcW w:w="0" w:type="auto"/>
            <w:shd w:val="clear" w:color="auto" w:fill="auto"/>
            <w:vAlign w:val="center"/>
          </w:tcPr>
          <w:p w14:paraId="4F8BB73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康佳锂电池全产业链项目</w:t>
            </w:r>
          </w:p>
        </w:tc>
        <w:tc>
          <w:tcPr>
            <w:tcW w:w="0" w:type="auto"/>
            <w:shd w:val="clear" w:color="auto" w:fill="auto"/>
            <w:vAlign w:val="center"/>
          </w:tcPr>
          <w:p w14:paraId="483118A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3A72660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4B06EE76">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双方合作打造新能源电池“材料—电芯—组件—回收—新能源整车（代产）”的全产业链示范园区。</w:t>
            </w:r>
          </w:p>
        </w:tc>
        <w:tc>
          <w:tcPr>
            <w:tcW w:w="876" w:type="dxa"/>
            <w:shd w:val="clear" w:color="auto" w:fill="auto"/>
            <w:vAlign w:val="center"/>
          </w:tcPr>
          <w:p w14:paraId="064A694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w:t>
            </w:r>
          </w:p>
        </w:tc>
        <w:tc>
          <w:tcPr>
            <w:tcW w:w="1787" w:type="dxa"/>
            <w:shd w:val="clear" w:color="auto" w:fill="auto"/>
            <w:vAlign w:val="center"/>
          </w:tcPr>
          <w:p w14:paraId="4996948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康佳集团</w:t>
            </w:r>
          </w:p>
        </w:tc>
        <w:tc>
          <w:tcPr>
            <w:tcW w:w="0" w:type="auto"/>
            <w:shd w:val="clear" w:color="auto" w:fill="auto"/>
            <w:vAlign w:val="center"/>
          </w:tcPr>
          <w:p w14:paraId="588AF02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颍上经开区管委会</w:t>
            </w:r>
          </w:p>
        </w:tc>
        <w:tc>
          <w:tcPr>
            <w:tcW w:w="0" w:type="auto"/>
            <w:shd w:val="clear" w:color="auto" w:fill="auto"/>
            <w:vAlign w:val="center"/>
          </w:tcPr>
          <w:p w14:paraId="719156A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2CC3A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8" w:hRule="atLeast"/>
        </w:trPr>
        <w:tc>
          <w:tcPr>
            <w:tcW w:w="0" w:type="auto"/>
            <w:shd w:val="clear" w:color="auto" w:fill="auto"/>
            <w:vAlign w:val="center"/>
          </w:tcPr>
          <w:p w14:paraId="3B27FCF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9</w:t>
            </w:r>
          </w:p>
        </w:tc>
        <w:tc>
          <w:tcPr>
            <w:tcW w:w="0" w:type="auto"/>
            <w:shd w:val="clear" w:color="auto" w:fill="auto"/>
            <w:vAlign w:val="center"/>
          </w:tcPr>
          <w:p w14:paraId="6938375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半导体液晶显示项目、智能制造项目</w:t>
            </w:r>
          </w:p>
        </w:tc>
        <w:tc>
          <w:tcPr>
            <w:tcW w:w="0" w:type="auto"/>
            <w:shd w:val="clear" w:color="auto" w:fill="auto"/>
            <w:vAlign w:val="center"/>
          </w:tcPr>
          <w:p w14:paraId="54593E8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728141B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3A40BA66">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总建筑面积10万平方米，建设生产厂房、研发办公楼及宿舍及配套设施；购置相关生产线设备</w:t>
            </w:r>
          </w:p>
        </w:tc>
        <w:tc>
          <w:tcPr>
            <w:tcW w:w="876" w:type="dxa"/>
            <w:shd w:val="clear" w:color="auto" w:fill="auto"/>
            <w:vAlign w:val="center"/>
          </w:tcPr>
          <w:p w14:paraId="193A0DB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728C2A1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东莞正田科技有限公司</w:t>
            </w:r>
          </w:p>
        </w:tc>
        <w:tc>
          <w:tcPr>
            <w:tcW w:w="0" w:type="auto"/>
            <w:shd w:val="clear" w:color="auto" w:fill="auto"/>
            <w:vAlign w:val="center"/>
          </w:tcPr>
          <w:p w14:paraId="27CCA3F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颍上经开区管委会</w:t>
            </w:r>
          </w:p>
        </w:tc>
        <w:tc>
          <w:tcPr>
            <w:tcW w:w="0" w:type="auto"/>
            <w:shd w:val="clear" w:color="auto" w:fill="auto"/>
            <w:vAlign w:val="center"/>
          </w:tcPr>
          <w:p w14:paraId="6174A75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2CF7E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42FF560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0" w:type="auto"/>
            <w:shd w:val="clear" w:color="auto" w:fill="auto"/>
            <w:vAlign w:val="center"/>
          </w:tcPr>
          <w:p w14:paraId="46B205C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四川凝彩电子器件制造有限公司LED显示屏照明芯片封测项目</w:t>
            </w:r>
          </w:p>
        </w:tc>
        <w:tc>
          <w:tcPr>
            <w:tcW w:w="0" w:type="auto"/>
            <w:shd w:val="clear" w:color="auto" w:fill="auto"/>
            <w:vAlign w:val="center"/>
          </w:tcPr>
          <w:p w14:paraId="4308EE9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50DB9C3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624B86DF">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建设洁净厂房50000平方米，购置LED显示屏生产线</w:t>
            </w:r>
          </w:p>
        </w:tc>
        <w:tc>
          <w:tcPr>
            <w:tcW w:w="876" w:type="dxa"/>
            <w:shd w:val="clear" w:color="auto" w:fill="auto"/>
            <w:vAlign w:val="center"/>
          </w:tcPr>
          <w:p w14:paraId="1B56567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440DC9C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四川凝彩电子器件制造有限公司</w:t>
            </w:r>
          </w:p>
        </w:tc>
        <w:tc>
          <w:tcPr>
            <w:tcW w:w="0" w:type="auto"/>
            <w:shd w:val="clear" w:color="auto" w:fill="auto"/>
            <w:vAlign w:val="center"/>
          </w:tcPr>
          <w:p w14:paraId="47702E8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颍上经开区管委会</w:t>
            </w:r>
          </w:p>
        </w:tc>
        <w:tc>
          <w:tcPr>
            <w:tcW w:w="0" w:type="auto"/>
            <w:shd w:val="clear" w:color="auto" w:fill="auto"/>
            <w:vAlign w:val="center"/>
          </w:tcPr>
          <w:p w14:paraId="34BEC60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049D2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5" w:hRule="atLeast"/>
        </w:trPr>
        <w:tc>
          <w:tcPr>
            <w:tcW w:w="0" w:type="auto"/>
            <w:shd w:val="clear" w:color="auto" w:fill="auto"/>
            <w:vAlign w:val="center"/>
          </w:tcPr>
          <w:p w14:paraId="343A59A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11</w:t>
            </w:r>
          </w:p>
        </w:tc>
        <w:tc>
          <w:tcPr>
            <w:tcW w:w="0" w:type="auto"/>
            <w:shd w:val="clear" w:color="auto" w:fill="auto"/>
            <w:vAlign w:val="center"/>
          </w:tcPr>
          <w:p w14:paraId="65E54B0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谢桥2×660MW超超临界燃煤机组项目</w:t>
            </w:r>
          </w:p>
        </w:tc>
        <w:tc>
          <w:tcPr>
            <w:tcW w:w="0" w:type="auto"/>
            <w:shd w:val="clear" w:color="auto" w:fill="auto"/>
            <w:vAlign w:val="center"/>
          </w:tcPr>
          <w:p w14:paraId="3F0FEC1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373AEC7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7C168EB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建设2×660MW超超临界燃煤机组，并配套相关设备、设施</w:t>
            </w:r>
          </w:p>
        </w:tc>
        <w:tc>
          <w:tcPr>
            <w:tcW w:w="876" w:type="dxa"/>
            <w:shd w:val="clear" w:color="auto" w:fill="auto"/>
            <w:vAlign w:val="center"/>
          </w:tcPr>
          <w:p w14:paraId="7160C24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52.9</w:t>
            </w:r>
          </w:p>
        </w:tc>
        <w:tc>
          <w:tcPr>
            <w:tcW w:w="1787" w:type="dxa"/>
            <w:shd w:val="clear" w:color="auto" w:fill="auto"/>
            <w:vAlign w:val="center"/>
          </w:tcPr>
          <w:p w14:paraId="1BE1CDE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淮河能源控股集团有限公司</w:t>
            </w:r>
          </w:p>
        </w:tc>
        <w:tc>
          <w:tcPr>
            <w:tcW w:w="0" w:type="auto"/>
            <w:shd w:val="clear" w:color="auto" w:fill="auto"/>
            <w:vAlign w:val="center"/>
          </w:tcPr>
          <w:p w14:paraId="524DF6F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颍上县发改委</w:t>
            </w:r>
          </w:p>
        </w:tc>
        <w:tc>
          <w:tcPr>
            <w:tcW w:w="0" w:type="auto"/>
            <w:shd w:val="clear" w:color="auto" w:fill="auto"/>
            <w:vAlign w:val="center"/>
          </w:tcPr>
          <w:p w14:paraId="6D347BB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5ACB3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0" w:type="auto"/>
            <w:shd w:val="clear" w:color="auto" w:fill="auto"/>
            <w:vAlign w:val="center"/>
          </w:tcPr>
          <w:p w14:paraId="01D0D35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w:t>
            </w:r>
          </w:p>
        </w:tc>
        <w:tc>
          <w:tcPr>
            <w:tcW w:w="0" w:type="auto"/>
            <w:shd w:val="clear" w:color="auto" w:fill="auto"/>
            <w:vAlign w:val="center"/>
          </w:tcPr>
          <w:p w14:paraId="24BF22A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柔性能源及光学材料（胶膜）生产和新材料研究院项目</w:t>
            </w:r>
          </w:p>
        </w:tc>
        <w:tc>
          <w:tcPr>
            <w:tcW w:w="0" w:type="auto"/>
            <w:shd w:val="clear" w:color="auto" w:fill="auto"/>
            <w:vAlign w:val="center"/>
          </w:tcPr>
          <w:p w14:paraId="2163BDD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4131F85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084D150D">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洁净厂房50000平方米，购置光学胶膜生产线</w:t>
            </w:r>
          </w:p>
        </w:tc>
        <w:tc>
          <w:tcPr>
            <w:tcW w:w="876" w:type="dxa"/>
            <w:shd w:val="clear" w:color="auto" w:fill="auto"/>
            <w:vAlign w:val="center"/>
          </w:tcPr>
          <w:p w14:paraId="1CB96C9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w:t>
            </w:r>
          </w:p>
        </w:tc>
        <w:tc>
          <w:tcPr>
            <w:tcW w:w="1787" w:type="dxa"/>
            <w:shd w:val="clear" w:color="auto" w:fill="auto"/>
            <w:vAlign w:val="center"/>
          </w:tcPr>
          <w:p w14:paraId="2DCC441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广东鹿山新材料股份有限公司</w:t>
            </w:r>
          </w:p>
        </w:tc>
        <w:tc>
          <w:tcPr>
            <w:tcW w:w="0" w:type="auto"/>
            <w:shd w:val="clear" w:color="auto" w:fill="auto"/>
            <w:vAlign w:val="center"/>
          </w:tcPr>
          <w:p w14:paraId="06E03D8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颍上经开区管委会</w:t>
            </w:r>
          </w:p>
        </w:tc>
        <w:tc>
          <w:tcPr>
            <w:tcW w:w="0" w:type="auto"/>
            <w:shd w:val="clear" w:color="auto" w:fill="auto"/>
            <w:vAlign w:val="center"/>
          </w:tcPr>
          <w:p w14:paraId="434D5C2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6409F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6129EC1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13</w:t>
            </w:r>
          </w:p>
        </w:tc>
        <w:tc>
          <w:tcPr>
            <w:tcW w:w="0" w:type="auto"/>
            <w:shd w:val="clear" w:color="auto" w:fill="auto"/>
            <w:vAlign w:val="center"/>
          </w:tcPr>
          <w:p w14:paraId="2D83164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融汇（颍上）新材料产业园项目</w:t>
            </w:r>
          </w:p>
        </w:tc>
        <w:tc>
          <w:tcPr>
            <w:tcW w:w="0" w:type="auto"/>
            <w:shd w:val="clear" w:color="auto" w:fill="auto"/>
            <w:vAlign w:val="center"/>
          </w:tcPr>
          <w:p w14:paraId="147F4BC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3511AE3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1E63BC40">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规划用地1800亩，建设72万平方米氯碱、双氧水、三氯氢硅、环氧氯丙烷及特种环氧树脂、氯甲苯、锂电池电解质材料项目厂房</w:t>
            </w:r>
          </w:p>
        </w:tc>
        <w:tc>
          <w:tcPr>
            <w:tcW w:w="876" w:type="dxa"/>
            <w:shd w:val="clear" w:color="auto" w:fill="auto"/>
            <w:vAlign w:val="center"/>
          </w:tcPr>
          <w:p w14:paraId="1412B93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55.5</w:t>
            </w:r>
          </w:p>
        </w:tc>
        <w:tc>
          <w:tcPr>
            <w:tcW w:w="1787" w:type="dxa"/>
            <w:shd w:val="clear" w:color="auto" w:fill="auto"/>
            <w:vAlign w:val="center"/>
          </w:tcPr>
          <w:p w14:paraId="3B5BBEF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融汇集团有限公司</w:t>
            </w:r>
          </w:p>
        </w:tc>
        <w:tc>
          <w:tcPr>
            <w:tcW w:w="0" w:type="auto"/>
            <w:shd w:val="clear" w:color="auto" w:fill="auto"/>
            <w:vAlign w:val="center"/>
          </w:tcPr>
          <w:p w14:paraId="3EA423F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颍上循环经济园管委会</w:t>
            </w:r>
          </w:p>
        </w:tc>
        <w:tc>
          <w:tcPr>
            <w:tcW w:w="0" w:type="auto"/>
            <w:shd w:val="clear" w:color="auto" w:fill="auto"/>
            <w:vAlign w:val="center"/>
          </w:tcPr>
          <w:p w14:paraId="693E2B9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57D5E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3B0D6A4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14</w:t>
            </w:r>
          </w:p>
        </w:tc>
        <w:tc>
          <w:tcPr>
            <w:tcW w:w="0" w:type="auto"/>
            <w:shd w:val="clear" w:color="auto" w:fill="auto"/>
            <w:vAlign w:val="center"/>
          </w:tcPr>
          <w:p w14:paraId="5457303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新能源汽车产业基地</w:t>
            </w:r>
          </w:p>
        </w:tc>
        <w:tc>
          <w:tcPr>
            <w:tcW w:w="0" w:type="auto"/>
            <w:shd w:val="clear" w:color="auto" w:fill="auto"/>
            <w:vAlign w:val="center"/>
          </w:tcPr>
          <w:p w14:paraId="25F36E7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5037DDD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50B5B9A2">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打造新能源汽车产业基地，依托整车优势形成100亿年产值的产业集群</w:t>
            </w:r>
          </w:p>
        </w:tc>
        <w:tc>
          <w:tcPr>
            <w:tcW w:w="876" w:type="dxa"/>
            <w:shd w:val="clear" w:color="auto" w:fill="auto"/>
            <w:vAlign w:val="center"/>
          </w:tcPr>
          <w:p w14:paraId="0E70F18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w:t>
            </w:r>
          </w:p>
        </w:tc>
        <w:tc>
          <w:tcPr>
            <w:tcW w:w="1787" w:type="dxa"/>
            <w:shd w:val="clear" w:color="auto" w:fill="auto"/>
            <w:vAlign w:val="center"/>
          </w:tcPr>
          <w:p w14:paraId="7DA35AA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深圳旋风新能源汽车有限公司</w:t>
            </w:r>
          </w:p>
        </w:tc>
        <w:tc>
          <w:tcPr>
            <w:tcW w:w="0" w:type="auto"/>
            <w:shd w:val="clear" w:color="auto" w:fill="auto"/>
            <w:vAlign w:val="center"/>
          </w:tcPr>
          <w:p w14:paraId="4523F73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颍上经开区管委会</w:t>
            </w:r>
          </w:p>
        </w:tc>
        <w:tc>
          <w:tcPr>
            <w:tcW w:w="0" w:type="auto"/>
            <w:shd w:val="clear" w:color="auto" w:fill="auto"/>
            <w:vAlign w:val="center"/>
          </w:tcPr>
          <w:p w14:paraId="2F09366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2F90F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761F862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w:t>
            </w:r>
          </w:p>
        </w:tc>
        <w:tc>
          <w:tcPr>
            <w:tcW w:w="0" w:type="auto"/>
            <w:shd w:val="clear" w:color="auto" w:fill="auto"/>
            <w:vAlign w:val="center"/>
          </w:tcPr>
          <w:p w14:paraId="31CF0A0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福晴医疗7T临床磁共振生产</w:t>
            </w:r>
          </w:p>
        </w:tc>
        <w:tc>
          <w:tcPr>
            <w:tcW w:w="0" w:type="auto"/>
            <w:shd w:val="clear" w:color="auto" w:fill="auto"/>
            <w:vAlign w:val="center"/>
          </w:tcPr>
          <w:p w14:paraId="7EAD30F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1BCE9AB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1845ACEC">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洁净厂房50000平方米，购置LED显示屏生产线</w:t>
            </w:r>
          </w:p>
        </w:tc>
        <w:tc>
          <w:tcPr>
            <w:tcW w:w="876" w:type="dxa"/>
            <w:shd w:val="clear" w:color="auto" w:fill="auto"/>
            <w:vAlign w:val="center"/>
          </w:tcPr>
          <w:p w14:paraId="07D1014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13</w:t>
            </w:r>
          </w:p>
        </w:tc>
        <w:tc>
          <w:tcPr>
            <w:tcW w:w="1787" w:type="dxa"/>
            <w:shd w:val="clear" w:color="auto" w:fill="auto"/>
            <w:vAlign w:val="center"/>
          </w:tcPr>
          <w:p w14:paraId="1607BED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安徽福晴医疗科技有限公司</w:t>
            </w:r>
          </w:p>
        </w:tc>
        <w:tc>
          <w:tcPr>
            <w:tcW w:w="0" w:type="auto"/>
            <w:shd w:val="clear" w:color="auto" w:fill="auto"/>
            <w:vAlign w:val="center"/>
          </w:tcPr>
          <w:p w14:paraId="2FCF61C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颍上经开区管委会</w:t>
            </w:r>
          </w:p>
        </w:tc>
        <w:tc>
          <w:tcPr>
            <w:tcW w:w="0" w:type="auto"/>
            <w:shd w:val="clear" w:color="auto" w:fill="auto"/>
            <w:vAlign w:val="center"/>
          </w:tcPr>
          <w:p w14:paraId="52A1D7F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36ADE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170FBDD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16</w:t>
            </w:r>
          </w:p>
        </w:tc>
        <w:tc>
          <w:tcPr>
            <w:tcW w:w="0" w:type="auto"/>
            <w:shd w:val="clear" w:color="auto" w:fill="auto"/>
            <w:vAlign w:val="center"/>
          </w:tcPr>
          <w:p w14:paraId="32BAA80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年产130亿只一次性丁腈医用手套生产基地项目</w:t>
            </w:r>
          </w:p>
        </w:tc>
        <w:tc>
          <w:tcPr>
            <w:tcW w:w="0" w:type="auto"/>
            <w:shd w:val="clear" w:color="auto" w:fill="auto"/>
            <w:vAlign w:val="center"/>
          </w:tcPr>
          <w:p w14:paraId="4F8724A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0EBDF03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2322FD35">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项目总用地面积约350亩，建设48条一次性丁腈手套产品生产线和采购设备、建设生产厂房、成品仓库、生活辅助用房建筑及道路等相关配套设施。</w:t>
            </w:r>
          </w:p>
        </w:tc>
        <w:tc>
          <w:tcPr>
            <w:tcW w:w="876" w:type="dxa"/>
            <w:shd w:val="clear" w:color="auto" w:fill="auto"/>
            <w:vAlign w:val="center"/>
          </w:tcPr>
          <w:p w14:paraId="0394D37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27.7</w:t>
            </w:r>
          </w:p>
        </w:tc>
        <w:tc>
          <w:tcPr>
            <w:tcW w:w="1787" w:type="dxa"/>
            <w:shd w:val="clear" w:color="auto" w:fill="auto"/>
            <w:vAlign w:val="center"/>
          </w:tcPr>
          <w:p w14:paraId="37DF6F7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安徽韦斯特兰德医疗用品有限公司</w:t>
            </w:r>
          </w:p>
        </w:tc>
        <w:tc>
          <w:tcPr>
            <w:tcW w:w="0" w:type="auto"/>
            <w:shd w:val="clear" w:color="auto" w:fill="auto"/>
            <w:vAlign w:val="center"/>
          </w:tcPr>
          <w:p w14:paraId="2E0F5CA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安徽颍上经开区管委会</w:t>
            </w:r>
          </w:p>
        </w:tc>
        <w:tc>
          <w:tcPr>
            <w:tcW w:w="0" w:type="auto"/>
            <w:shd w:val="clear" w:color="auto" w:fill="auto"/>
            <w:vAlign w:val="center"/>
          </w:tcPr>
          <w:p w14:paraId="6910F0C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6001D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3C54E38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17</w:t>
            </w:r>
          </w:p>
        </w:tc>
        <w:tc>
          <w:tcPr>
            <w:tcW w:w="0" w:type="auto"/>
            <w:shd w:val="clear" w:color="auto" w:fill="auto"/>
            <w:vAlign w:val="center"/>
          </w:tcPr>
          <w:p w14:paraId="33CC071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年产1.5亿平方米光伏玻璃及煤制气电一体化配套项目</w:t>
            </w:r>
          </w:p>
        </w:tc>
        <w:tc>
          <w:tcPr>
            <w:tcW w:w="0" w:type="auto"/>
            <w:shd w:val="clear" w:color="auto" w:fill="auto"/>
            <w:vAlign w:val="center"/>
          </w:tcPr>
          <w:p w14:paraId="418A685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247D38A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52CE673D">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煤制气工艺装置，动力装置，窑炉装备，公辅工程、全厂性系统工程等。</w:t>
            </w:r>
          </w:p>
        </w:tc>
        <w:tc>
          <w:tcPr>
            <w:tcW w:w="876" w:type="dxa"/>
            <w:shd w:val="clear" w:color="auto" w:fill="auto"/>
            <w:vAlign w:val="center"/>
          </w:tcPr>
          <w:p w14:paraId="4CD78F1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60</w:t>
            </w:r>
          </w:p>
        </w:tc>
        <w:tc>
          <w:tcPr>
            <w:tcW w:w="1787" w:type="dxa"/>
            <w:shd w:val="clear" w:color="auto" w:fill="auto"/>
            <w:vAlign w:val="center"/>
          </w:tcPr>
          <w:p w14:paraId="46292D3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颍发投资管理有限公司</w:t>
            </w:r>
          </w:p>
        </w:tc>
        <w:tc>
          <w:tcPr>
            <w:tcW w:w="0" w:type="auto"/>
            <w:shd w:val="clear" w:color="auto" w:fill="auto"/>
            <w:vAlign w:val="center"/>
          </w:tcPr>
          <w:p w14:paraId="6A0B222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颍上县经开区管委会</w:t>
            </w:r>
          </w:p>
        </w:tc>
        <w:tc>
          <w:tcPr>
            <w:tcW w:w="0" w:type="auto"/>
            <w:shd w:val="clear" w:color="auto" w:fill="auto"/>
            <w:vAlign w:val="center"/>
          </w:tcPr>
          <w:p w14:paraId="5496994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22C90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0" w:type="auto"/>
            <w:shd w:val="clear" w:color="auto" w:fill="auto"/>
            <w:vAlign w:val="center"/>
          </w:tcPr>
          <w:p w14:paraId="055B37A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18</w:t>
            </w:r>
          </w:p>
        </w:tc>
        <w:tc>
          <w:tcPr>
            <w:tcW w:w="0" w:type="auto"/>
            <w:shd w:val="clear" w:color="auto" w:fill="auto"/>
            <w:vAlign w:val="center"/>
          </w:tcPr>
          <w:p w14:paraId="07DD969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燕龙基二期扩建新增日产12000吨光伏组件高透基板材料生产线</w:t>
            </w:r>
          </w:p>
        </w:tc>
        <w:tc>
          <w:tcPr>
            <w:tcW w:w="0" w:type="auto"/>
            <w:shd w:val="clear" w:color="auto" w:fill="auto"/>
            <w:vAlign w:val="center"/>
          </w:tcPr>
          <w:p w14:paraId="25A9864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6013212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2928201B">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总建筑面积约56万平方米，购置日产2400吨太阳能装备用铝硅酸盐玻璃产线</w:t>
            </w:r>
          </w:p>
        </w:tc>
        <w:tc>
          <w:tcPr>
            <w:tcW w:w="876" w:type="dxa"/>
            <w:shd w:val="clear" w:color="auto" w:fill="auto"/>
            <w:vAlign w:val="center"/>
          </w:tcPr>
          <w:p w14:paraId="73FAE5C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26</w:t>
            </w:r>
          </w:p>
        </w:tc>
        <w:tc>
          <w:tcPr>
            <w:tcW w:w="1787" w:type="dxa"/>
            <w:shd w:val="clear" w:color="auto" w:fill="auto"/>
            <w:vAlign w:val="center"/>
          </w:tcPr>
          <w:p w14:paraId="658184F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安徽燕龙基新能源科技有限公司</w:t>
            </w:r>
          </w:p>
        </w:tc>
        <w:tc>
          <w:tcPr>
            <w:tcW w:w="0" w:type="auto"/>
            <w:shd w:val="clear" w:color="auto" w:fill="auto"/>
            <w:vAlign w:val="center"/>
          </w:tcPr>
          <w:p w14:paraId="3370F86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安徽颍上经济开发区管理委员会</w:t>
            </w:r>
          </w:p>
        </w:tc>
        <w:tc>
          <w:tcPr>
            <w:tcW w:w="0" w:type="auto"/>
            <w:shd w:val="clear" w:color="auto" w:fill="auto"/>
            <w:vAlign w:val="center"/>
          </w:tcPr>
          <w:p w14:paraId="38B78DB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7893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1FB04F7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19</w:t>
            </w:r>
          </w:p>
        </w:tc>
        <w:tc>
          <w:tcPr>
            <w:tcW w:w="0" w:type="auto"/>
            <w:shd w:val="clear" w:color="auto" w:fill="auto"/>
            <w:vAlign w:val="center"/>
          </w:tcPr>
          <w:p w14:paraId="3030235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年产7000万平米太阳能装备封装材料项目</w:t>
            </w:r>
          </w:p>
        </w:tc>
        <w:tc>
          <w:tcPr>
            <w:tcW w:w="0" w:type="auto"/>
            <w:shd w:val="clear" w:color="auto" w:fill="auto"/>
            <w:vAlign w:val="center"/>
          </w:tcPr>
          <w:p w14:paraId="1C904E9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4EE6235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1A9B4F34">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新建标准厂房及辅助用房等，总建筑面积155874.08平方米；购置安装一窑六线太阳能装备封装材料生产线2条及配套设施</w:t>
            </w:r>
          </w:p>
        </w:tc>
        <w:tc>
          <w:tcPr>
            <w:tcW w:w="876" w:type="dxa"/>
            <w:shd w:val="clear" w:color="auto" w:fill="auto"/>
            <w:vAlign w:val="center"/>
          </w:tcPr>
          <w:p w14:paraId="250EF55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11.6</w:t>
            </w:r>
          </w:p>
        </w:tc>
        <w:tc>
          <w:tcPr>
            <w:tcW w:w="1787" w:type="dxa"/>
            <w:shd w:val="clear" w:color="auto" w:fill="auto"/>
            <w:vAlign w:val="center"/>
          </w:tcPr>
          <w:p w14:paraId="1FE3E75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安徽颍发新能源科技有限公司</w:t>
            </w:r>
          </w:p>
        </w:tc>
        <w:tc>
          <w:tcPr>
            <w:tcW w:w="0" w:type="auto"/>
            <w:shd w:val="clear" w:color="auto" w:fill="auto"/>
            <w:vAlign w:val="center"/>
          </w:tcPr>
          <w:p w14:paraId="3CCE462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安徽颍上经开区管委会</w:t>
            </w:r>
          </w:p>
        </w:tc>
        <w:tc>
          <w:tcPr>
            <w:tcW w:w="0" w:type="auto"/>
            <w:shd w:val="clear" w:color="auto" w:fill="auto"/>
            <w:vAlign w:val="center"/>
          </w:tcPr>
          <w:p w14:paraId="7A87E04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755E5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5181B9B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w:t>
            </w:r>
          </w:p>
        </w:tc>
        <w:tc>
          <w:tcPr>
            <w:tcW w:w="0" w:type="auto"/>
            <w:shd w:val="clear" w:color="auto" w:fill="auto"/>
            <w:vAlign w:val="center"/>
          </w:tcPr>
          <w:p w14:paraId="486F3F3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年产2万吨稀土永磁材料生产基地建设项目</w:t>
            </w:r>
          </w:p>
        </w:tc>
        <w:tc>
          <w:tcPr>
            <w:tcW w:w="0" w:type="auto"/>
            <w:shd w:val="clear" w:color="auto" w:fill="auto"/>
            <w:vAlign w:val="center"/>
          </w:tcPr>
          <w:p w14:paraId="00D431D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0F771A2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29C9B2AD">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项目总用地面积1000亩，总建筑面积为45万平方米，建设制造、研发、检测、环保用房及配套设施；购置年产2万吨稀土永磁材料生产线</w:t>
            </w:r>
          </w:p>
        </w:tc>
        <w:tc>
          <w:tcPr>
            <w:tcW w:w="876" w:type="dxa"/>
            <w:shd w:val="clear" w:color="auto" w:fill="auto"/>
            <w:vAlign w:val="center"/>
          </w:tcPr>
          <w:p w14:paraId="596CDD5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56</w:t>
            </w:r>
          </w:p>
        </w:tc>
        <w:tc>
          <w:tcPr>
            <w:tcW w:w="1787" w:type="dxa"/>
            <w:shd w:val="clear" w:color="auto" w:fill="auto"/>
            <w:vAlign w:val="center"/>
          </w:tcPr>
          <w:p w14:paraId="405208C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深圳正威集团有限公司</w:t>
            </w:r>
          </w:p>
        </w:tc>
        <w:tc>
          <w:tcPr>
            <w:tcW w:w="0" w:type="auto"/>
            <w:shd w:val="clear" w:color="auto" w:fill="auto"/>
            <w:vAlign w:val="center"/>
          </w:tcPr>
          <w:p w14:paraId="6B42C74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安徽颍上经开区管委会</w:t>
            </w:r>
          </w:p>
        </w:tc>
        <w:tc>
          <w:tcPr>
            <w:tcW w:w="0" w:type="auto"/>
            <w:shd w:val="clear" w:color="auto" w:fill="auto"/>
            <w:vAlign w:val="center"/>
          </w:tcPr>
          <w:p w14:paraId="3ED810A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34CAA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13DFA71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21</w:t>
            </w:r>
          </w:p>
        </w:tc>
        <w:tc>
          <w:tcPr>
            <w:tcW w:w="0" w:type="auto"/>
            <w:shd w:val="clear" w:color="auto" w:fill="auto"/>
            <w:vAlign w:val="center"/>
          </w:tcPr>
          <w:p w14:paraId="33BE561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医药中间体超级工厂项目</w:t>
            </w:r>
          </w:p>
        </w:tc>
        <w:tc>
          <w:tcPr>
            <w:tcW w:w="0" w:type="auto"/>
            <w:shd w:val="clear" w:color="auto" w:fill="auto"/>
            <w:vAlign w:val="center"/>
          </w:tcPr>
          <w:p w14:paraId="38E9539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332D370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48603576">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建设1000亩医药中间体产业园，一期建设246亩，新建厂房、办公室、食堂等10万平方米</w:t>
            </w:r>
          </w:p>
        </w:tc>
        <w:tc>
          <w:tcPr>
            <w:tcW w:w="876" w:type="dxa"/>
            <w:shd w:val="clear" w:color="auto" w:fill="auto"/>
            <w:vAlign w:val="center"/>
          </w:tcPr>
          <w:p w14:paraId="3E25DC8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2E46F7A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江苏国华医药科技园有限公司</w:t>
            </w:r>
          </w:p>
        </w:tc>
        <w:tc>
          <w:tcPr>
            <w:tcW w:w="0" w:type="auto"/>
            <w:shd w:val="clear" w:color="auto" w:fill="auto"/>
            <w:vAlign w:val="center"/>
          </w:tcPr>
          <w:p w14:paraId="11DE98B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颍上循环经济园管委会</w:t>
            </w:r>
          </w:p>
        </w:tc>
        <w:tc>
          <w:tcPr>
            <w:tcW w:w="0" w:type="auto"/>
            <w:shd w:val="clear" w:color="auto" w:fill="auto"/>
            <w:vAlign w:val="center"/>
          </w:tcPr>
          <w:p w14:paraId="20E62A3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54DF7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77AD227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22</w:t>
            </w:r>
          </w:p>
        </w:tc>
        <w:tc>
          <w:tcPr>
            <w:tcW w:w="0" w:type="auto"/>
            <w:shd w:val="clear" w:color="auto" w:fill="auto"/>
            <w:vAlign w:val="center"/>
          </w:tcPr>
          <w:p w14:paraId="7EBE790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柔性高频高速材料生产项目</w:t>
            </w:r>
          </w:p>
        </w:tc>
        <w:tc>
          <w:tcPr>
            <w:tcW w:w="0" w:type="auto"/>
            <w:shd w:val="clear" w:color="auto" w:fill="auto"/>
            <w:vAlign w:val="center"/>
          </w:tcPr>
          <w:p w14:paraId="480F9DF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6EC2617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6A41073F">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利用二酐、二胺类材料与溶剂合成PI树脂，再经流延处理后形成PI膜，高端电子级的PI树脂及膜；采购超薄铜箔，生产制造PI膜及FCCL产品</w:t>
            </w:r>
          </w:p>
        </w:tc>
        <w:tc>
          <w:tcPr>
            <w:tcW w:w="876" w:type="dxa"/>
            <w:shd w:val="clear" w:color="auto" w:fill="auto"/>
            <w:vAlign w:val="center"/>
          </w:tcPr>
          <w:p w14:paraId="1044D8A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w:t>
            </w:r>
          </w:p>
        </w:tc>
        <w:tc>
          <w:tcPr>
            <w:tcW w:w="1787" w:type="dxa"/>
            <w:shd w:val="clear" w:color="auto" w:fill="auto"/>
            <w:vAlign w:val="center"/>
          </w:tcPr>
          <w:p w14:paraId="0C1CD52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彩虹集团</w:t>
            </w:r>
          </w:p>
        </w:tc>
        <w:tc>
          <w:tcPr>
            <w:tcW w:w="0" w:type="auto"/>
            <w:shd w:val="clear" w:color="auto" w:fill="auto"/>
            <w:vAlign w:val="center"/>
          </w:tcPr>
          <w:p w14:paraId="2CC0BD9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颍上县循环经济园管委会</w:t>
            </w:r>
          </w:p>
        </w:tc>
        <w:tc>
          <w:tcPr>
            <w:tcW w:w="0" w:type="auto"/>
            <w:shd w:val="clear" w:color="auto" w:fill="auto"/>
            <w:vAlign w:val="center"/>
          </w:tcPr>
          <w:p w14:paraId="60F875C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1A22D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30DAA04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23</w:t>
            </w:r>
          </w:p>
        </w:tc>
        <w:tc>
          <w:tcPr>
            <w:tcW w:w="0" w:type="auto"/>
            <w:shd w:val="clear" w:color="auto" w:fill="auto"/>
            <w:vAlign w:val="center"/>
          </w:tcPr>
          <w:p w14:paraId="2B2A991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安徽（阜阳）光伏新能源全产业链示范基地</w:t>
            </w:r>
          </w:p>
        </w:tc>
        <w:tc>
          <w:tcPr>
            <w:tcW w:w="0" w:type="auto"/>
            <w:shd w:val="clear" w:color="auto" w:fill="auto"/>
            <w:vAlign w:val="center"/>
          </w:tcPr>
          <w:p w14:paraId="77FFD51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w:t>
            </w:r>
          </w:p>
        </w:tc>
        <w:tc>
          <w:tcPr>
            <w:tcW w:w="0" w:type="auto"/>
            <w:shd w:val="clear" w:color="auto" w:fill="auto"/>
            <w:vAlign w:val="center"/>
          </w:tcPr>
          <w:p w14:paraId="1C7818E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42A717B0">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占地3000亩，做大做强光伏新材料产业，培育壮大光伏系统配套产业，延伸发展光伏应用产业，加快形成阜阳光伏新能源产业新优势和新动能</w:t>
            </w:r>
          </w:p>
        </w:tc>
        <w:tc>
          <w:tcPr>
            <w:tcW w:w="876" w:type="dxa"/>
            <w:shd w:val="clear" w:color="auto" w:fill="auto"/>
            <w:vAlign w:val="center"/>
          </w:tcPr>
          <w:p w14:paraId="4D1894A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50</w:t>
            </w:r>
          </w:p>
        </w:tc>
        <w:tc>
          <w:tcPr>
            <w:tcW w:w="1787" w:type="dxa"/>
            <w:shd w:val="clear" w:color="auto" w:fill="auto"/>
            <w:vAlign w:val="center"/>
          </w:tcPr>
          <w:p w14:paraId="481DE84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安徽海福新材料技有限公司</w:t>
            </w:r>
          </w:p>
        </w:tc>
        <w:tc>
          <w:tcPr>
            <w:tcW w:w="0" w:type="auto"/>
            <w:shd w:val="clear" w:color="auto" w:fill="auto"/>
            <w:vAlign w:val="center"/>
          </w:tcPr>
          <w:p w14:paraId="4B60F5D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颍上县经开区管委会</w:t>
            </w:r>
          </w:p>
        </w:tc>
        <w:tc>
          <w:tcPr>
            <w:tcW w:w="0" w:type="auto"/>
            <w:shd w:val="clear" w:color="auto" w:fill="auto"/>
            <w:vAlign w:val="center"/>
          </w:tcPr>
          <w:p w14:paraId="344798A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7597B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0" w:type="auto"/>
            <w:gridSpan w:val="9"/>
            <w:shd w:val="clear" w:color="auto" w:fill="auto"/>
            <w:vAlign w:val="center"/>
          </w:tcPr>
          <w:p w14:paraId="3F3D7885">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界首市31个，总投资1511.7亿元</w:t>
            </w:r>
          </w:p>
        </w:tc>
      </w:tr>
      <w:tr w14:paraId="63392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0" w:hRule="atLeast"/>
        </w:trPr>
        <w:tc>
          <w:tcPr>
            <w:tcW w:w="0" w:type="auto"/>
            <w:shd w:val="clear" w:color="auto" w:fill="auto"/>
            <w:vAlign w:val="center"/>
          </w:tcPr>
          <w:p w14:paraId="14A2079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w:t>
            </w:r>
          </w:p>
        </w:tc>
        <w:tc>
          <w:tcPr>
            <w:tcW w:w="0" w:type="auto"/>
            <w:shd w:val="clear" w:color="auto" w:fill="auto"/>
            <w:vAlign w:val="center"/>
          </w:tcPr>
          <w:p w14:paraId="5165F5A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华拓科技年产6GWh新能源锂电池项目</w:t>
            </w:r>
          </w:p>
        </w:tc>
        <w:tc>
          <w:tcPr>
            <w:tcW w:w="0" w:type="auto"/>
            <w:shd w:val="clear" w:color="auto" w:fill="auto"/>
            <w:vAlign w:val="center"/>
          </w:tcPr>
          <w:p w14:paraId="1831B51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4A446B1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4A323B2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23万平方米，新建厂房、仓库及办公用房等，购置正负级双层涂布机、正负极高速金属切片机、自动装配线、正负极辊压分切一体机、充放电及性能检测设备等4.37万台（套），形成年产6GWh新能源锂电池的生产能力</w:t>
            </w:r>
          </w:p>
        </w:tc>
        <w:tc>
          <w:tcPr>
            <w:tcW w:w="876" w:type="dxa"/>
            <w:shd w:val="clear" w:color="auto" w:fill="auto"/>
            <w:vAlign w:val="center"/>
          </w:tcPr>
          <w:p w14:paraId="44305A4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30</w:t>
            </w:r>
          </w:p>
        </w:tc>
        <w:tc>
          <w:tcPr>
            <w:tcW w:w="1787" w:type="dxa"/>
            <w:shd w:val="clear" w:color="auto" w:fill="auto"/>
            <w:vAlign w:val="center"/>
          </w:tcPr>
          <w:p w14:paraId="42F262C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安徽华拓新能源科技有限公司</w:t>
            </w:r>
          </w:p>
        </w:tc>
        <w:tc>
          <w:tcPr>
            <w:tcW w:w="0" w:type="auto"/>
            <w:shd w:val="clear" w:color="auto" w:fill="auto"/>
            <w:vAlign w:val="center"/>
          </w:tcPr>
          <w:p w14:paraId="40C7CAE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界首市高新区田营科技园管委会</w:t>
            </w:r>
          </w:p>
        </w:tc>
        <w:tc>
          <w:tcPr>
            <w:tcW w:w="0" w:type="auto"/>
            <w:shd w:val="clear" w:color="auto" w:fill="auto"/>
            <w:vAlign w:val="center"/>
          </w:tcPr>
          <w:p w14:paraId="725A69C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59462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50" w:hRule="atLeast"/>
        </w:trPr>
        <w:tc>
          <w:tcPr>
            <w:tcW w:w="0" w:type="auto"/>
            <w:shd w:val="clear" w:color="auto" w:fill="auto"/>
            <w:vAlign w:val="center"/>
          </w:tcPr>
          <w:p w14:paraId="2124298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w:t>
            </w:r>
          </w:p>
        </w:tc>
        <w:tc>
          <w:tcPr>
            <w:tcW w:w="0" w:type="auto"/>
            <w:shd w:val="clear" w:color="auto" w:fill="auto"/>
            <w:vAlign w:val="center"/>
          </w:tcPr>
          <w:p w14:paraId="2401031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瑞琦塑胶年产25万吨高性能改性颗粒、15万吨高性能管道及塑料制品项目</w:t>
            </w:r>
          </w:p>
        </w:tc>
        <w:tc>
          <w:tcPr>
            <w:tcW w:w="0" w:type="auto"/>
            <w:shd w:val="clear" w:color="auto" w:fill="auto"/>
            <w:vAlign w:val="center"/>
          </w:tcPr>
          <w:p w14:paraId="0F0CB52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072C321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201E4A9B">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总建筑面积18.7万平方米，建设厂房、仓库及宿舍楼等，购置高性能管道生产设备，组建生产线5条，形成年产25万吨高性能改性颗粒、15万吨高性能管道及塑料制品、5万吨瓶片的生产能力</w:t>
            </w:r>
          </w:p>
        </w:tc>
        <w:tc>
          <w:tcPr>
            <w:tcW w:w="876" w:type="dxa"/>
            <w:shd w:val="clear" w:color="auto" w:fill="auto"/>
            <w:vAlign w:val="center"/>
          </w:tcPr>
          <w:p w14:paraId="7A688F2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13</w:t>
            </w:r>
          </w:p>
        </w:tc>
        <w:tc>
          <w:tcPr>
            <w:tcW w:w="1787" w:type="dxa"/>
            <w:shd w:val="clear" w:color="auto" w:fill="auto"/>
            <w:vAlign w:val="center"/>
          </w:tcPr>
          <w:p w14:paraId="5A92A2A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安徽瑞琦塑胶科技有限公司</w:t>
            </w:r>
          </w:p>
        </w:tc>
        <w:tc>
          <w:tcPr>
            <w:tcW w:w="0" w:type="auto"/>
            <w:shd w:val="clear" w:color="auto" w:fill="auto"/>
            <w:vAlign w:val="center"/>
          </w:tcPr>
          <w:p w14:paraId="5B92E77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界首市高新区北城科技园管委会</w:t>
            </w:r>
          </w:p>
        </w:tc>
        <w:tc>
          <w:tcPr>
            <w:tcW w:w="0" w:type="auto"/>
            <w:shd w:val="clear" w:color="auto" w:fill="auto"/>
            <w:vAlign w:val="center"/>
          </w:tcPr>
          <w:p w14:paraId="7442DA7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735F2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5" w:hRule="atLeast"/>
        </w:trPr>
        <w:tc>
          <w:tcPr>
            <w:tcW w:w="0" w:type="auto"/>
            <w:shd w:val="clear" w:color="auto" w:fill="auto"/>
            <w:vAlign w:val="center"/>
          </w:tcPr>
          <w:p w14:paraId="11F8312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w:t>
            </w:r>
          </w:p>
        </w:tc>
        <w:tc>
          <w:tcPr>
            <w:tcW w:w="0" w:type="auto"/>
            <w:shd w:val="clear" w:color="auto" w:fill="auto"/>
            <w:vAlign w:val="center"/>
          </w:tcPr>
          <w:p w14:paraId="5C0BD69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银河皮革军用特种服装生产和研发军民融合示范园项目</w:t>
            </w:r>
          </w:p>
        </w:tc>
        <w:tc>
          <w:tcPr>
            <w:tcW w:w="0" w:type="auto"/>
            <w:shd w:val="clear" w:color="auto" w:fill="auto"/>
            <w:vAlign w:val="center"/>
          </w:tcPr>
          <w:p w14:paraId="45200D3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45595D4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21D06054">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总建筑面积23万平方米，建设厂房、办公用房、库房等，购置各类军用服饰生产线8条及设备300台（套），形成年产飞行服40万套、军大衣80万件、帽子300万顶、手套200万双以及400万套迷彩服的综合生产能力</w:t>
            </w:r>
          </w:p>
        </w:tc>
        <w:tc>
          <w:tcPr>
            <w:tcW w:w="876" w:type="dxa"/>
            <w:shd w:val="clear" w:color="auto" w:fill="auto"/>
            <w:vAlign w:val="center"/>
          </w:tcPr>
          <w:p w14:paraId="225746C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11</w:t>
            </w:r>
          </w:p>
        </w:tc>
        <w:tc>
          <w:tcPr>
            <w:tcW w:w="1787" w:type="dxa"/>
            <w:shd w:val="clear" w:color="auto" w:fill="auto"/>
            <w:vAlign w:val="center"/>
          </w:tcPr>
          <w:p w14:paraId="015FCDB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安徽银河皮革有限公司</w:t>
            </w:r>
          </w:p>
        </w:tc>
        <w:tc>
          <w:tcPr>
            <w:tcW w:w="0" w:type="auto"/>
            <w:shd w:val="clear" w:color="auto" w:fill="auto"/>
            <w:vAlign w:val="center"/>
          </w:tcPr>
          <w:p w14:paraId="71B6CBA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界首市高新区东城科技园管委会</w:t>
            </w:r>
          </w:p>
        </w:tc>
        <w:tc>
          <w:tcPr>
            <w:tcW w:w="0" w:type="auto"/>
            <w:shd w:val="clear" w:color="auto" w:fill="auto"/>
            <w:vAlign w:val="center"/>
          </w:tcPr>
          <w:p w14:paraId="4A83EC8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6BFDA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4CA54EE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4</w:t>
            </w:r>
          </w:p>
        </w:tc>
        <w:tc>
          <w:tcPr>
            <w:tcW w:w="0" w:type="auto"/>
            <w:shd w:val="clear" w:color="auto" w:fill="auto"/>
            <w:vAlign w:val="center"/>
          </w:tcPr>
          <w:p w14:paraId="04B6F83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生宸源科技年产40万吨高性能HDPE波纹管原料及15万吨再生高性能HDPE波纹管项目</w:t>
            </w:r>
          </w:p>
        </w:tc>
        <w:tc>
          <w:tcPr>
            <w:tcW w:w="0" w:type="auto"/>
            <w:shd w:val="clear" w:color="auto" w:fill="auto"/>
            <w:vAlign w:val="center"/>
          </w:tcPr>
          <w:p w14:paraId="352C551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59CA503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64F0B54D">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15万平方米，新建厂房、库房、办公用房等，购置再生HDPE分拣加工处理系统、自动计量配混输送系统、改性系统、波纹管生产机组等，组建生产线12条，形成年产40万吨高性能HDPE波纹管原料及15万吨再生高性能HDPE波纹管的生产能力</w:t>
            </w:r>
          </w:p>
        </w:tc>
        <w:tc>
          <w:tcPr>
            <w:tcW w:w="876" w:type="dxa"/>
            <w:shd w:val="clear" w:color="auto" w:fill="auto"/>
            <w:vAlign w:val="center"/>
          </w:tcPr>
          <w:p w14:paraId="6CA532F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2514240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安徽省生宸源材料科技实业发展股份有限公司</w:t>
            </w:r>
          </w:p>
        </w:tc>
        <w:tc>
          <w:tcPr>
            <w:tcW w:w="0" w:type="auto"/>
            <w:shd w:val="clear" w:color="auto" w:fill="auto"/>
            <w:vAlign w:val="center"/>
          </w:tcPr>
          <w:p w14:paraId="7882779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界首市高新区光武科技园管委会</w:t>
            </w:r>
          </w:p>
        </w:tc>
        <w:tc>
          <w:tcPr>
            <w:tcW w:w="0" w:type="auto"/>
            <w:shd w:val="clear" w:color="auto" w:fill="auto"/>
            <w:vAlign w:val="center"/>
          </w:tcPr>
          <w:p w14:paraId="04FC331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09C7A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3704A46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w:t>
            </w:r>
          </w:p>
        </w:tc>
        <w:tc>
          <w:tcPr>
            <w:tcW w:w="0" w:type="auto"/>
            <w:shd w:val="clear" w:color="auto" w:fill="auto"/>
            <w:vAlign w:val="center"/>
          </w:tcPr>
          <w:p w14:paraId="69BD0DA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南都华铂锂离子电池绿色高效循环利用项目（Ⅱ期）</w:t>
            </w:r>
          </w:p>
        </w:tc>
        <w:tc>
          <w:tcPr>
            <w:tcW w:w="0" w:type="auto"/>
            <w:shd w:val="clear" w:color="auto" w:fill="auto"/>
            <w:vAlign w:val="center"/>
          </w:tcPr>
          <w:p w14:paraId="6237259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0875268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0D56FE58">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400亩，总建筑面积15万平方米，建设原料车间、拆解车间、浸出车间、萃取车间、沉锂及结晶车间、研发中心、办公楼等，购置各类设备550台左右，形成年处理废旧锂离子电池及废料7.5万吨、年产电池级锂盐、钴盐、镍盐等合计3.5万吨、梯次电池0.9万吨、三元前驱体和正极材料0.03万吨的生产能力</w:t>
            </w:r>
          </w:p>
        </w:tc>
        <w:tc>
          <w:tcPr>
            <w:tcW w:w="876" w:type="dxa"/>
            <w:shd w:val="clear" w:color="auto" w:fill="auto"/>
            <w:vAlign w:val="center"/>
          </w:tcPr>
          <w:p w14:paraId="3594E81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14.8</w:t>
            </w:r>
          </w:p>
        </w:tc>
        <w:tc>
          <w:tcPr>
            <w:tcW w:w="1787" w:type="dxa"/>
            <w:shd w:val="clear" w:color="auto" w:fill="auto"/>
            <w:vAlign w:val="center"/>
          </w:tcPr>
          <w:p w14:paraId="6BB69E3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安徽南都华铂新材料科技有限公司</w:t>
            </w:r>
          </w:p>
        </w:tc>
        <w:tc>
          <w:tcPr>
            <w:tcW w:w="0" w:type="auto"/>
            <w:shd w:val="clear" w:color="auto" w:fill="auto"/>
            <w:vAlign w:val="center"/>
          </w:tcPr>
          <w:p w14:paraId="271C509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田营科技园管委会</w:t>
            </w:r>
          </w:p>
        </w:tc>
        <w:tc>
          <w:tcPr>
            <w:tcW w:w="0" w:type="auto"/>
            <w:shd w:val="clear" w:color="auto" w:fill="auto"/>
            <w:vAlign w:val="center"/>
          </w:tcPr>
          <w:p w14:paraId="132DAD4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7E52D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0" w:type="auto"/>
            <w:shd w:val="clear" w:color="auto" w:fill="auto"/>
            <w:vAlign w:val="center"/>
          </w:tcPr>
          <w:p w14:paraId="7C1C307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6</w:t>
            </w:r>
          </w:p>
        </w:tc>
        <w:tc>
          <w:tcPr>
            <w:tcW w:w="0" w:type="auto"/>
            <w:shd w:val="clear" w:color="auto" w:fill="auto"/>
            <w:vAlign w:val="center"/>
          </w:tcPr>
          <w:p w14:paraId="5B316E0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巨东再生金属产业园项目</w:t>
            </w:r>
          </w:p>
        </w:tc>
        <w:tc>
          <w:tcPr>
            <w:tcW w:w="0" w:type="auto"/>
            <w:shd w:val="clear" w:color="auto" w:fill="auto"/>
            <w:vAlign w:val="center"/>
          </w:tcPr>
          <w:p w14:paraId="4DAF3A4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433B783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789673CC">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占地1000亩，总建筑面积25万平方米，建设再生金属交易中心、生产厂房、库房等，购置有色金属原料分选转运生产线、压缩机生产线等，形成年处理3万吨废电线、30万吨废铝、8万吨黄铜、10万吨紫铜的生产能力</w:t>
            </w:r>
          </w:p>
        </w:tc>
        <w:tc>
          <w:tcPr>
            <w:tcW w:w="876" w:type="dxa"/>
            <w:shd w:val="clear" w:color="auto" w:fill="auto"/>
            <w:vAlign w:val="center"/>
          </w:tcPr>
          <w:p w14:paraId="5B091E8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28</w:t>
            </w:r>
          </w:p>
        </w:tc>
        <w:tc>
          <w:tcPr>
            <w:tcW w:w="1787" w:type="dxa"/>
            <w:shd w:val="clear" w:color="auto" w:fill="auto"/>
            <w:vAlign w:val="center"/>
          </w:tcPr>
          <w:p w14:paraId="0D4DBDF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浙江巨东股份有限公司</w:t>
            </w:r>
          </w:p>
        </w:tc>
        <w:tc>
          <w:tcPr>
            <w:tcW w:w="0" w:type="auto"/>
            <w:shd w:val="clear" w:color="auto" w:fill="auto"/>
            <w:vAlign w:val="center"/>
          </w:tcPr>
          <w:p w14:paraId="574FB65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西城科技园管委会</w:t>
            </w:r>
          </w:p>
        </w:tc>
        <w:tc>
          <w:tcPr>
            <w:tcW w:w="0" w:type="auto"/>
            <w:shd w:val="clear" w:color="auto" w:fill="auto"/>
            <w:vAlign w:val="center"/>
          </w:tcPr>
          <w:p w14:paraId="49E54F3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393C1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35CA5B6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7</w:t>
            </w:r>
          </w:p>
        </w:tc>
        <w:tc>
          <w:tcPr>
            <w:tcW w:w="0" w:type="auto"/>
            <w:shd w:val="clear" w:color="auto" w:fill="auto"/>
            <w:vAlign w:val="center"/>
          </w:tcPr>
          <w:p w14:paraId="185E6DE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东海翔新马集塑料产业园项目</w:t>
            </w:r>
          </w:p>
        </w:tc>
        <w:tc>
          <w:tcPr>
            <w:tcW w:w="0" w:type="auto"/>
            <w:shd w:val="clear" w:color="auto" w:fill="auto"/>
            <w:vAlign w:val="center"/>
          </w:tcPr>
          <w:p w14:paraId="0218294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38B2075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09725C98">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总建筑面积19万平方米，建设多栋标准化厂房，配套建设污水、废气、固废处理中心、行政服务中心等</w:t>
            </w:r>
          </w:p>
        </w:tc>
        <w:tc>
          <w:tcPr>
            <w:tcW w:w="876" w:type="dxa"/>
            <w:shd w:val="clear" w:color="auto" w:fill="auto"/>
            <w:vAlign w:val="center"/>
          </w:tcPr>
          <w:p w14:paraId="2B7947B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w:t>
            </w:r>
          </w:p>
        </w:tc>
        <w:tc>
          <w:tcPr>
            <w:tcW w:w="1787" w:type="dxa"/>
            <w:shd w:val="clear" w:color="auto" w:fill="auto"/>
            <w:vAlign w:val="center"/>
          </w:tcPr>
          <w:p w14:paraId="6535639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东海翔集团有限公司</w:t>
            </w:r>
          </w:p>
        </w:tc>
        <w:tc>
          <w:tcPr>
            <w:tcW w:w="0" w:type="auto"/>
            <w:shd w:val="clear" w:color="auto" w:fill="auto"/>
            <w:vAlign w:val="center"/>
          </w:tcPr>
          <w:p w14:paraId="068E934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界首市新马集镇政府</w:t>
            </w:r>
          </w:p>
        </w:tc>
        <w:tc>
          <w:tcPr>
            <w:tcW w:w="0" w:type="auto"/>
            <w:shd w:val="clear" w:color="auto" w:fill="auto"/>
            <w:vAlign w:val="center"/>
          </w:tcPr>
          <w:p w14:paraId="03570DC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363C0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5EE5C8D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8</w:t>
            </w:r>
          </w:p>
        </w:tc>
        <w:tc>
          <w:tcPr>
            <w:tcW w:w="0" w:type="auto"/>
            <w:shd w:val="clear" w:color="auto" w:fill="auto"/>
            <w:vAlign w:val="center"/>
          </w:tcPr>
          <w:p w14:paraId="3F2B8BF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华拓新能源年产6GWh新能源锂电池项目（Ⅱ期）</w:t>
            </w:r>
          </w:p>
        </w:tc>
        <w:tc>
          <w:tcPr>
            <w:tcW w:w="0" w:type="auto"/>
            <w:shd w:val="clear" w:color="auto" w:fill="auto"/>
            <w:vAlign w:val="center"/>
          </w:tcPr>
          <w:p w14:paraId="582EDF1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12E8E12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7580CB17">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占地350亩，总建筑面积12万平方米，新建厂房、仓库及办公用房等，购置正负级双层涂布机、正负极高速金属切片机等设备23730万台（套），形成年产3GWh新能源锂电池的生产能力</w:t>
            </w:r>
          </w:p>
        </w:tc>
        <w:tc>
          <w:tcPr>
            <w:tcW w:w="876" w:type="dxa"/>
            <w:shd w:val="clear" w:color="auto" w:fill="auto"/>
            <w:vAlign w:val="center"/>
          </w:tcPr>
          <w:p w14:paraId="0D7B9A7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18</w:t>
            </w:r>
          </w:p>
        </w:tc>
        <w:tc>
          <w:tcPr>
            <w:tcW w:w="1787" w:type="dxa"/>
            <w:shd w:val="clear" w:color="auto" w:fill="auto"/>
            <w:vAlign w:val="center"/>
          </w:tcPr>
          <w:p w14:paraId="062EE2A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安徽华拓新能源科技有限公司</w:t>
            </w:r>
          </w:p>
        </w:tc>
        <w:tc>
          <w:tcPr>
            <w:tcW w:w="0" w:type="auto"/>
            <w:shd w:val="clear" w:color="auto" w:fill="auto"/>
            <w:vAlign w:val="center"/>
          </w:tcPr>
          <w:p w14:paraId="7BFA49D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田营科技园管委会</w:t>
            </w:r>
          </w:p>
        </w:tc>
        <w:tc>
          <w:tcPr>
            <w:tcW w:w="0" w:type="auto"/>
            <w:shd w:val="clear" w:color="auto" w:fill="auto"/>
            <w:vAlign w:val="center"/>
          </w:tcPr>
          <w:p w14:paraId="35E4795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2A92F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shd w:val="clear" w:color="auto" w:fill="auto"/>
            <w:vAlign w:val="center"/>
          </w:tcPr>
          <w:p w14:paraId="4BE64CC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9</w:t>
            </w:r>
          </w:p>
        </w:tc>
        <w:tc>
          <w:tcPr>
            <w:tcW w:w="0" w:type="auto"/>
            <w:shd w:val="clear" w:color="auto" w:fill="auto"/>
            <w:vAlign w:val="center"/>
          </w:tcPr>
          <w:p w14:paraId="48008CE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中永联塑业年产23万吨塑料建材项目</w:t>
            </w:r>
          </w:p>
        </w:tc>
        <w:tc>
          <w:tcPr>
            <w:tcW w:w="0" w:type="auto"/>
            <w:shd w:val="clear" w:color="auto" w:fill="auto"/>
            <w:vAlign w:val="center"/>
          </w:tcPr>
          <w:p w14:paraId="64805C7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3D32418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385648E6">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占地574亩，总建筑面积20.48万平方米，建设生产车间、办公楼、库房等，购置管材生产线98台、板材生产线48套、大中型注塑机25台等，形成年产23万吨塑料建材的生产能力</w:t>
            </w:r>
          </w:p>
        </w:tc>
        <w:tc>
          <w:tcPr>
            <w:tcW w:w="876" w:type="dxa"/>
            <w:shd w:val="clear" w:color="auto" w:fill="auto"/>
            <w:vAlign w:val="center"/>
          </w:tcPr>
          <w:p w14:paraId="1D52541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11.4</w:t>
            </w:r>
          </w:p>
        </w:tc>
        <w:tc>
          <w:tcPr>
            <w:tcW w:w="1787" w:type="dxa"/>
            <w:shd w:val="clear" w:color="auto" w:fill="auto"/>
            <w:vAlign w:val="center"/>
          </w:tcPr>
          <w:p w14:paraId="664ECAE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安徽中永联塑业科技有限公司</w:t>
            </w:r>
          </w:p>
        </w:tc>
        <w:tc>
          <w:tcPr>
            <w:tcW w:w="0" w:type="auto"/>
            <w:shd w:val="clear" w:color="auto" w:fill="auto"/>
            <w:vAlign w:val="center"/>
          </w:tcPr>
          <w:p w14:paraId="07649D4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界首市高新区光武科技园管委会</w:t>
            </w:r>
          </w:p>
        </w:tc>
        <w:tc>
          <w:tcPr>
            <w:tcW w:w="0" w:type="auto"/>
            <w:shd w:val="clear" w:color="auto" w:fill="auto"/>
            <w:vAlign w:val="center"/>
          </w:tcPr>
          <w:p w14:paraId="21EF96E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604EE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00FF241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0" w:type="auto"/>
            <w:shd w:val="clear" w:color="auto" w:fill="auto"/>
            <w:vAlign w:val="center"/>
          </w:tcPr>
          <w:p w14:paraId="1CB1C7A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江西赛维10GW光伏电池及10GW组件项目</w:t>
            </w:r>
          </w:p>
        </w:tc>
        <w:tc>
          <w:tcPr>
            <w:tcW w:w="0" w:type="auto"/>
            <w:shd w:val="clear" w:color="auto" w:fill="auto"/>
            <w:vAlign w:val="center"/>
          </w:tcPr>
          <w:p w14:paraId="0FABB74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1C2C4A4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0AB854E3">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占地1200亩，总建筑面积200万平方米，建设厂房以及研发中心等，购置1000套生产线，形成年产10GW光伏电池及10GW组件的生产能力</w:t>
            </w:r>
          </w:p>
        </w:tc>
        <w:tc>
          <w:tcPr>
            <w:tcW w:w="876" w:type="dxa"/>
            <w:shd w:val="clear" w:color="auto" w:fill="auto"/>
            <w:vAlign w:val="center"/>
          </w:tcPr>
          <w:p w14:paraId="4859E15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60</w:t>
            </w:r>
          </w:p>
        </w:tc>
        <w:tc>
          <w:tcPr>
            <w:tcW w:w="1787" w:type="dxa"/>
            <w:shd w:val="clear" w:color="auto" w:fill="auto"/>
            <w:vAlign w:val="center"/>
          </w:tcPr>
          <w:p w14:paraId="295D091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江西赛维LDK光伏硅科技有限公司</w:t>
            </w:r>
          </w:p>
        </w:tc>
        <w:tc>
          <w:tcPr>
            <w:tcW w:w="0" w:type="auto"/>
            <w:shd w:val="clear" w:color="auto" w:fill="auto"/>
            <w:vAlign w:val="center"/>
          </w:tcPr>
          <w:p w14:paraId="3CDB72D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界首市高新区东城科技园管委会</w:t>
            </w:r>
          </w:p>
        </w:tc>
        <w:tc>
          <w:tcPr>
            <w:tcW w:w="0" w:type="auto"/>
            <w:shd w:val="clear" w:color="auto" w:fill="auto"/>
            <w:vAlign w:val="center"/>
          </w:tcPr>
          <w:p w14:paraId="07E9CA1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01FF3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17D366E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11</w:t>
            </w:r>
          </w:p>
        </w:tc>
        <w:tc>
          <w:tcPr>
            <w:tcW w:w="0" w:type="auto"/>
            <w:shd w:val="clear" w:color="auto" w:fill="auto"/>
            <w:vAlign w:val="center"/>
          </w:tcPr>
          <w:p w14:paraId="6F1AEF2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理士电池年产300万KVAH电池项目</w:t>
            </w:r>
          </w:p>
        </w:tc>
        <w:tc>
          <w:tcPr>
            <w:tcW w:w="0" w:type="auto"/>
            <w:shd w:val="clear" w:color="auto" w:fill="auto"/>
            <w:vAlign w:val="center"/>
          </w:tcPr>
          <w:p w14:paraId="506AB0B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6EE3C36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5F3BF326">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占地220亩，建设厂房等，形成年产300万KVAH电池的生产能力</w:t>
            </w:r>
          </w:p>
        </w:tc>
        <w:tc>
          <w:tcPr>
            <w:tcW w:w="876" w:type="dxa"/>
            <w:shd w:val="clear" w:color="auto" w:fill="auto"/>
            <w:vAlign w:val="center"/>
          </w:tcPr>
          <w:p w14:paraId="37DED52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44422C0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理士电池技术有限公司</w:t>
            </w:r>
          </w:p>
        </w:tc>
        <w:tc>
          <w:tcPr>
            <w:tcW w:w="0" w:type="auto"/>
            <w:shd w:val="clear" w:color="auto" w:fill="auto"/>
            <w:vAlign w:val="center"/>
          </w:tcPr>
          <w:p w14:paraId="44664BE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界首市高新区田营科技园管委会</w:t>
            </w:r>
          </w:p>
        </w:tc>
        <w:tc>
          <w:tcPr>
            <w:tcW w:w="0" w:type="auto"/>
            <w:shd w:val="clear" w:color="auto" w:fill="auto"/>
            <w:vAlign w:val="center"/>
          </w:tcPr>
          <w:p w14:paraId="50384DB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535CB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718842D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w:t>
            </w:r>
          </w:p>
        </w:tc>
        <w:tc>
          <w:tcPr>
            <w:tcW w:w="0" w:type="auto"/>
            <w:shd w:val="clear" w:color="auto" w:fill="auto"/>
            <w:vAlign w:val="center"/>
          </w:tcPr>
          <w:p w14:paraId="3B75922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中铝废钢铁综合利用基地项目</w:t>
            </w:r>
          </w:p>
        </w:tc>
        <w:tc>
          <w:tcPr>
            <w:tcW w:w="0" w:type="auto"/>
            <w:shd w:val="clear" w:color="auto" w:fill="auto"/>
            <w:vAlign w:val="center"/>
          </w:tcPr>
          <w:p w14:paraId="4C3D39D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792B262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6052C1A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总建筑面积5万平方米，建设多栋标准化厂房，购置10条国内外领先的生产线，形成年产100万吨废钢铁的回收及再利用的生产能力</w:t>
            </w:r>
          </w:p>
        </w:tc>
        <w:tc>
          <w:tcPr>
            <w:tcW w:w="876" w:type="dxa"/>
            <w:shd w:val="clear" w:color="auto" w:fill="auto"/>
            <w:vAlign w:val="center"/>
          </w:tcPr>
          <w:p w14:paraId="6BE2B39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16</w:t>
            </w:r>
          </w:p>
        </w:tc>
        <w:tc>
          <w:tcPr>
            <w:tcW w:w="1787" w:type="dxa"/>
            <w:shd w:val="clear" w:color="auto" w:fill="auto"/>
            <w:vAlign w:val="center"/>
          </w:tcPr>
          <w:p w14:paraId="672B390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深圳中铝创新开发投资有限公司</w:t>
            </w:r>
          </w:p>
        </w:tc>
        <w:tc>
          <w:tcPr>
            <w:tcW w:w="0" w:type="auto"/>
            <w:shd w:val="clear" w:color="auto" w:fill="auto"/>
            <w:vAlign w:val="center"/>
          </w:tcPr>
          <w:p w14:paraId="3B19E77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界首市高新区西城科技园管委会</w:t>
            </w:r>
          </w:p>
        </w:tc>
        <w:tc>
          <w:tcPr>
            <w:tcW w:w="0" w:type="auto"/>
            <w:shd w:val="clear" w:color="auto" w:fill="auto"/>
            <w:vAlign w:val="center"/>
          </w:tcPr>
          <w:p w14:paraId="3729DF2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167E3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0" w:type="auto"/>
            <w:shd w:val="clear" w:color="auto" w:fill="auto"/>
            <w:vAlign w:val="center"/>
          </w:tcPr>
          <w:p w14:paraId="5C44A20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13</w:t>
            </w:r>
          </w:p>
        </w:tc>
        <w:tc>
          <w:tcPr>
            <w:tcW w:w="0" w:type="auto"/>
            <w:shd w:val="clear" w:color="auto" w:fill="auto"/>
            <w:vAlign w:val="center"/>
          </w:tcPr>
          <w:p w14:paraId="01AE687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海盐中翔年产16万吨涤纶复合丝、5000万米仿真丝面料智能化工厂建设项目</w:t>
            </w:r>
          </w:p>
        </w:tc>
        <w:tc>
          <w:tcPr>
            <w:tcW w:w="0" w:type="auto"/>
            <w:shd w:val="clear" w:color="auto" w:fill="auto"/>
            <w:vAlign w:val="center"/>
          </w:tcPr>
          <w:p w14:paraId="63432F9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415AF18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59FE9667">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占地160亩，总建筑面积11万平方米，建设厂房、办公用房等，购置涤纶复合丝和仿真丝相关生产线，形成年产16万吨涤纶复合丝、5000万米仿真丝面料的生产能力</w:t>
            </w:r>
          </w:p>
        </w:tc>
        <w:tc>
          <w:tcPr>
            <w:tcW w:w="876" w:type="dxa"/>
            <w:shd w:val="clear" w:color="auto" w:fill="auto"/>
            <w:vAlign w:val="center"/>
          </w:tcPr>
          <w:p w14:paraId="03C8190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725F615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浙江海盐中翔涤纶丝有限公司</w:t>
            </w:r>
          </w:p>
        </w:tc>
        <w:tc>
          <w:tcPr>
            <w:tcW w:w="0" w:type="auto"/>
            <w:shd w:val="clear" w:color="auto" w:fill="auto"/>
            <w:vAlign w:val="center"/>
          </w:tcPr>
          <w:p w14:paraId="0941C02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界首市高新区北城科技园管委会</w:t>
            </w:r>
          </w:p>
        </w:tc>
        <w:tc>
          <w:tcPr>
            <w:tcW w:w="0" w:type="auto"/>
            <w:shd w:val="clear" w:color="auto" w:fill="auto"/>
            <w:vAlign w:val="center"/>
          </w:tcPr>
          <w:p w14:paraId="169ECA6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1EAEB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 w:hRule="atLeast"/>
        </w:trPr>
        <w:tc>
          <w:tcPr>
            <w:tcW w:w="0" w:type="auto"/>
            <w:shd w:val="clear" w:color="auto" w:fill="auto"/>
            <w:vAlign w:val="center"/>
          </w:tcPr>
          <w:p w14:paraId="09A0E75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14</w:t>
            </w:r>
          </w:p>
        </w:tc>
        <w:tc>
          <w:tcPr>
            <w:tcW w:w="0" w:type="auto"/>
            <w:shd w:val="clear" w:color="auto" w:fill="auto"/>
            <w:vAlign w:val="center"/>
          </w:tcPr>
          <w:p w14:paraId="2752DF9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海创塑胶包装材料及瓶片项目</w:t>
            </w:r>
          </w:p>
        </w:tc>
        <w:tc>
          <w:tcPr>
            <w:tcW w:w="0" w:type="auto"/>
            <w:shd w:val="clear" w:color="auto" w:fill="auto"/>
            <w:vAlign w:val="center"/>
          </w:tcPr>
          <w:p w14:paraId="270D125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3330219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733665BD">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占地200亩，总建筑面积14万平方米，建设厂房、办公用房及辅助用房等，购置包装材料及瓶片相关生产线设备，形成年产值15亿元包装材料及瓶片的生产能力</w:t>
            </w:r>
          </w:p>
        </w:tc>
        <w:tc>
          <w:tcPr>
            <w:tcW w:w="876" w:type="dxa"/>
            <w:shd w:val="clear" w:color="auto" w:fill="auto"/>
            <w:vAlign w:val="center"/>
          </w:tcPr>
          <w:p w14:paraId="70A3BB3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25</w:t>
            </w:r>
          </w:p>
        </w:tc>
        <w:tc>
          <w:tcPr>
            <w:tcW w:w="1787" w:type="dxa"/>
            <w:shd w:val="clear" w:color="auto" w:fill="auto"/>
            <w:vAlign w:val="center"/>
          </w:tcPr>
          <w:p w14:paraId="3B22E77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扬州市海创塑胶制品有限公司</w:t>
            </w:r>
          </w:p>
        </w:tc>
        <w:tc>
          <w:tcPr>
            <w:tcW w:w="0" w:type="auto"/>
            <w:shd w:val="clear" w:color="auto" w:fill="auto"/>
            <w:vAlign w:val="center"/>
          </w:tcPr>
          <w:p w14:paraId="3E73E5C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界首市高新区北城科技园管委会</w:t>
            </w:r>
          </w:p>
        </w:tc>
        <w:tc>
          <w:tcPr>
            <w:tcW w:w="0" w:type="auto"/>
            <w:shd w:val="clear" w:color="auto" w:fill="auto"/>
            <w:vAlign w:val="center"/>
          </w:tcPr>
          <w:p w14:paraId="6E26E6D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7594B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57AEF2B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w:t>
            </w:r>
          </w:p>
        </w:tc>
        <w:tc>
          <w:tcPr>
            <w:tcW w:w="0" w:type="auto"/>
            <w:shd w:val="clear" w:color="auto" w:fill="auto"/>
            <w:vAlign w:val="center"/>
          </w:tcPr>
          <w:p w14:paraId="41AD134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大发化纤年产20万吨化纤产品、10万吨塑料瓶片项目</w:t>
            </w:r>
          </w:p>
        </w:tc>
        <w:tc>
          <w:tcPr>
            <w:tcW w:w="0" w:type="auto"/>
            <w:shd w:val="clear" w:color="auto" w:fill="auto"/>
            <w:vAlign w:val="center"/>
          </w:tcPr>
          <w:p w14:paraId="4FF848D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0BF50B9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17761EE5">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占地100亩，建筑面积9万平方米，建设加工车间、仓库、包装车间、办公楼、研发中心等，购置化纤生产线、打包机等，形成年产20万吨化纤产品、10万吨塑料瓶片的生产能力</w:t>
            </w:r>
          </w:p>
        </w:tc>
        <w:tc>
          <w:tcPr>
            <w:tcW w:w="876" w:type="dxa"/>
            <w:shd w:val="clear" w:color="auto" w:fill="auto"/>
            <w:vAlign w:val="center"/>
          </w:tcPr>
          <w:p w14:paraId="4B00F9C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w:t>
            </w:r>
          </w:p>
        </w:tc>
        <w:tc>
          <w:tcPr>
            <w:tcW w:w="1787" w:type="dxa"/>
            <w:shd w:val="clear" w:color="auto" w:fill="auto"/>
            <w:vAlign w:val="center"/>
          </w:tcPr>
          <w:p w14:paraId="12E5DC7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天长市大发化纤有限公司</w:t>
            </w:r>
          </w:p>
        </w:tc>
        <w:tc>
          <w:tcPr>
            <w:tcW w:w="0" w:type="auto"/>
            <w:shd w:val="clear" w:color="auto" w:fill="auto"/>
            <w:vAlign w:val="center"/>
          </w:tcPr>
          <w:p w14:paraId="18AB0EE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界首市高新区光武科技园管委会</w:t>
            </w:r>
          </w:p>
        </w:tc>
        <w:tc>
          <w:tcPr>
            <w:tcW w:w="0" w:type="auto"/>
            <w:shd w:val="clear" w:color="auto" w:fill="auto"/>
            <w:vAlign w:val="center"/>
          </w:tcPr>
          <w:p w14:paraId="7818EF5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3DEEE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0FC1FD3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16</w:t>
            </w:r>
          </w:p>
        </w:tc>
        <w:tc>
          <w:tcPr>
            <w:tcW w:w="0" w:type="auto"/>
            <w:shd w:val="clear" w:color="auto" w:fill="auto"/>
            <w:vAlign w:val="center"/>
          </w:tcPr>
          <w:p w14:paraId="1672659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天能集团废旧汽车综合利用项目</w:t>
            </w:r>
          </w:p>
        </w:tc>
        <w:tc>
          <w:tcPr>
            <w:tcW w:w="0" w:type="auto"/>
            <w:shd w:val="clear" w:color="auto" w:fill="auto"/>
            <w:vAlign w:val="center"/>
          </w:tcPr>
          <w:p w14:paraId="75D2B07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05F1984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281777F6">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主要包括废旧汽车拆解和废旧轮胎处理再利用，预计可实现年产值50亿元以上</w:t>
            </w:r>
          </w:p>
        </w:tc>
        <w:tc>
          <w:tcPr>
            <w:tcW w:w="876" w:type="dxa"/>
            <w:shd w:val="clear" w:color="auto" w:fill="auto"/>
            <w:vAlign w:val="center"/>
          </w:tcPr>
          <w:p w14:paraId="222AD3D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396C61F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天能电池集团股份有限公司</w:t>
            </w:r>
          </w:p>
        </w:tc>
        <w:tc>
          <w:tcPr>
            <w:tcW w:w="0" w:type="auto"/>
            <w:shd w:val="clear" w:color="auto" w:fill="auto"/>
            <w:vAlign w:val="center"/>
          </w:tcPr>
          <w:p w14:paraId="1FA130C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界首市王集镇政府</w:t>
            </w:r>
          </w:p>
        </w:tc>
        <w:tc>
          <w:tcPr>
            <w:tcW w:w="0" w:type="auto"/>
            <w:shd w:val="clear" w:color="auto" w:fill="auto"/>
            <w:vAlign w:val="center"/>
          </w:tcPr>
          <w:p w14:paraId="7FC054C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0C3E3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76174E0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17</w:t>
            </w:r>
          </w:p>
        </w:tc>
        <w:tc>
          <w:tcPr>
            <w:tcW w:w="0" w:type="auto"/>
            <w:shd w:val="clear" w:color="auto" w:fill="auto"/>
            <w:vAlign w:val="center"/>
          </w:tcPr>
          <w:p w14:paraId="6440B5E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深呼吸纺织可降解高性能非织造防护材料关键技术及产业化项目</w:t>
            </w:r>
          </w:p>
        </w:tc>
        <w:tc>
          <w:tcPr>
            <w:tcW w:w="0" w:type="auto"/>
            <w:shd w:val="clear" w:color="auto" w:fill="auto"/>
            <w:vAlign w:val="center"/>
          </w:tcPr>
          <w:p w14:paraId="15D07AF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1437C8F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5DBA9142">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50亩，总建筑面积3.4万平方米，建设标准厂房、研发楼、仓库等辅助用房，购置聚合物直接成网智能非织造设备生产线5条、研发设备及其他可降解材料生产辅助设备等，形成年产3万吨可降解高性能非织造防护材料的生产能力</w:t>
            </w:r>
          </w:p>
        </w:tc>
        <w:tc>
          <w:tcPr>
            <w:tcW w:w="876" w:type="dxa"/>
            <w:shd w:val="clear" w:color="auto" w:fill="auto"/>
            <w:vAlign w:val="center"/>
          </w:tcPr>
          <w:p w14:paraId="3A0F816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12.5</w:t>
            </w:r>
          </w:p>
        </w:tc>
        <w:tc>
          <w:tcPr>
            <w:tcW w:w="1787" w:type="dxa"/>
            <w:shd w:val="clear" w:color="auto" w:fill="auto"/>
            <w:vAlign w:val="center"/>
          </w:tcPr>
          <w:p w14:paraId="2464EC0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安徽深呼吸纺织科技有限公司</w:t>
            </w:r>
          </w:p>
        </w:tc>
        <w:tc>
          <w:tcPr>
            <w:tcW w:w="0" w:type="auto"/>
            <w:shd w:val="clear" w:color="auto" w:fill="auto"/>
            <w:vAlign w:val="center"/>
          </w:tcPr>
          <w:p w14:paraId="69CF929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界首市高新区东城科技园管委会</w:t>
            </w:r>
          </w:p>
        </w:tc>
        <w:tc>
          <w:tcPr>
            <w:tcW w:w="0" w:type="auto"/>
            <w:shd w:val="clear" w:color="auto" w:fill="auto"/>
            <w:vAlign w:val="center"/>
          </w:tcPr>
          <w:p w14:paraId="45DD8A0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147FD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trPr>
        <w:tc>
          <w:tcPr>
            <w:tcW w:w="0" w:type="auto"/>
            <w:shd w:val="clear" w:color="auto" w:fill="auto"/>
            <w:vAlign w:val="center"/>
          </w:tcPr>
          <w:p w14:paraId="4E1A08B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18</w:t>
            </w:r>
          </w:p>
        </w:tc>
        <w:tc>
          <w:tcPr>
            <w:tcW w:w="0" w:type="auto"/>
            <w:shd w:val="clear" w:color="auto" w:fill="auto"/>
            <w:vAlign w:val="center"/>
          </w:tcPr>
          <w:p w14:paraId="70BF33B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新能源电池制造产业园项目</w:t>
            </w:r>
          </w:p>
        </w:tc>
        <w:tc>
          <w:tcPr>
            <w:tcW w:w="0" w:type="auto"/>
            <w:shd w:val="clear" w:color="auto" w:fill="auto"/>
            <w:vAlign w:val="center"/>
          </w:tcPr>
          <w:p w14:paraId="3A403AE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5242CDA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10F4C800">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规划引进锂电池三元前躯体和正负极材料制备，高性能锂离子、镍氢、氢燃料、石墨烯等非铅基新能源电池制造，新能源汽车制造和配套新材料综合回收利用项目，以及新能源电池研发设计、人才实训基地、国内外新能源产业链龙头企业区域总部</w:t>
            </w:r>
          </w:p>
        </w:tc>
        <w:tc>
          <w:tcPr>
            <w:tcW w:w="876" w:type="dxa"/>
            <w:shd w:val="clear" w:color="auto" w:fill="auto"/>
            <w:vAlign w:val="center"/>
          </w:tcPr>
          <w:p w14:paraId="4F7EADB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130</w:t>
            </w:r>
          </w:p>
        </w:tc>
        <w:tc>
          <w:tcPr>
            <w:tcW w:w="1787" w:type="dxa"/>
            <w:shd w:val="clear" w:color="auto" w:fill="auto"/>
            <w:vAlign w:val="center"/>
          </w:tcPr>
          <w:p w14:paraId="43224ED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界首市高新区田营科技园管委会</w:t>
            </w:r>
          </w:p>
        </w:tc>
        <w:tc>
          <w:tcPr>
            <w:tcW w:w="0" w:type="auto"/>
            <w:shd w:val="clear" w:color="auto" w:fill="auto"/>
            <w:vAlign w:val="center"/>
          </w:tcPr>
          <w:p w14:paraId="581BC7F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界首市高新区田营科技园管委会</w:t>
            </w:r>
          </w:p>
        </w:tc>
        <w:tc>
          <w:tcPr>
            <w:tcW w:w="0" w:type="auto"/>
            <w:shd w:val="clear" w:color="auto" w:fill="auto"/>
            <w:vAlign w:val="center"/>
          </w:tcPr>
          <w:p w14:paraId="187D659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479FD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65" w:hRule="atLeast"/>
        </w:trPr>
        <w:tc>
          <w:tcPr>
            <w:tcW w:w="0" w:type="auto"/>
            <w:shd w:val="clear" w:color="auto" w:fill="auto"/>
            <w:vAlign w:val="center"/>
          </w:tcPr>
          <w:p w14:paraId="52A14A2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19</w:t>
            </w:r>
          </w:p>
        </w:tc>
        <w:tc>
          <w:tcPr>
            <w:tcW w:w="0" w:type="auto"/>
            <w:shd w:val="clear" w:color="auto" w:fill="auto"/>
            <w:vAlign w:val="center"/>
          </w:tcPr>
          <w:p w14:paraId="4C290C6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绿色城市新材料产业园项目</w:t>
            </w:r>
          </w:p>
        </w:tc>
        <w:tc>
          <w:tcPr>
            <w:tcW w:w="0" w:type="auto"/>
            <w:shd w:val="clear" w:color="auto" w:fill="auto"/>
            <w:vAlign w:val="center"/>
          </w:tcPr>
          <w:p w14:paraId="458589E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04C3120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77CE1F0B">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引进废旧塑料回收加工改性塑料颗粒、高分子材料、注塑产品、压延产品、无纺布、海绵城市材料等产业链相关项目，以及市政管道全系列产品。形成装备自动化、智能化，产品多样化等集研发设计、生产为一体的国内绿色建设新材料综合利用全产业链龙头企业区域总部</w:t>
            </w:r>
          </w:p>
        </w:tc>
        <w:tc>
          <w:tcPr>
            <w:tcW w:w="876" w:type="dxa"/>
            <w:shd w:val="clear" w:color="auto" w:fill="auto"/>
            <w:vAlign w:val="center"/>
          </w:tcPr>
          <w:p w14:paraId="7290D24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75</w:t>
            </w:r>
          </w:p>
        </w:tc>
        <w:tc>
          <w:tcPr>
            <w:tcW w:w="1787" w:type="dxa"/>
            <w:shd w:val="clear" w:color="auto" w:fill="auto"/>
            <w:vAlign w:val="center"/>
          </w:tcPr>
          <w:p w14:paraId="3CCAA1D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界首市高新区北城科技园管委会</w:t>
            </w:r>
          </w:p>
        </w:tc>
        <w:tc>
          <w:tcPr>
            <w:tcW w:w="0" w:type="auto"/>
            <w:shd w:val="clear" w:color="auto" w:fill="auto"/>
            <w:vAlign w:val="center"/>
          </w:tcPr>
          <w:p w14:paraId="63470F8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界首市高新区北城科技园管委会</w:t>
            </w:r>
          </w:p>
        </w:tc>
        <w:tc>
          <w:tcPr>
            <w:tcW w:w="0" w:type="auto"/>
            <w:shd w:val="clear" w:color="auto" w:fill="auto"/>
            <w:vAlign w:val="center"/>
          </w:tcPr>
          <w:p w14:paraId="10ECF2B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628F9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0" w:type="auto"/>
            <w:shd w:val="clear" w:color="auto" w:fill="auto"/>
            <w:vAlign w:val="center"/>
          </w:tcPr>
          <w:p w14:paraId="6E9488C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w:t>
            </w:r>
          </w:p>
        </w:tc>
        <w:tc>
          <w:tcPr>
            <w:tcW w:w="0" w:type="auto"/>
            <w:shd w:val="clear" w:color="auto" w:fill="auto"/>
            <w:vAlign w:val="center"/>
          </w:tcPr>
          <w:p w14:paraId="50561E4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雅迪电动车生产项目</w:t>
            </w:r>
          </w:p>
        </w:tc>
        <w:tc>
          <w:tcPr>
            <w:tcW w:w="0" w:type="auto"/>
            <w:shd w:val="clear" w:color="auto" w:fill="auto"/>
            <w:vAlign w:val="center"/>
          </w:tcPr>
          <w:p w14:paraId="33CEAC1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63CAE96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5C81B0AA">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总建筑面积约10万平方米，依托田营科技园以及光武科技园现有资源，形成年产20万辆电动车的生产能力</w:t>
            </w:r>
          </w:p>
        </w:tc>
        <w:tc>
          <w:tcPr>
            <w:tcW w:w="876" w:type="dxa"/>
            <w:shd w:val="clear" w:color="auto" w:fill="auto"/>
            <w:vAlign w:val="center"/>
          </w:tcPr>
          <w:p w14:paraId="7E9E3D1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30</w:t>
            </w:r>
          </w:p>
        </w:tc>
        <w:tc>
          <w:tcPr>
            <w:tcW w:w="1787" w:type="dxa"/>
            <w:shd w:val="clear" w:color="auto" w:fill="auto"/>
            <w:vAlign w:val="center"/>
          </w:tcPr>
          <w:p w14:paraId="0B38DBD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雅迪科技集团有限公司</w:t>
            </w:r>
          </w:p>
        </w:tc>
        <w:tc>
          <w:tcPr>
            <w:tcW w:w="0" w:type="auto"/>
            <w:shd w:val="clear" w:color="auto" w:fill="auto"/>
            <w:vAlign w:val="center"/>
          </w:tcPr>
          <w:p w14:paraId="50FE230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界首市高新区西城科技园管委会</w:t>
            </w:r>
          </w:p>
        </w:tc>
        <w:tc>
          <w:tcPr>
            <w:tcW w:w="0" w:type="auto"/>
            <w:shd w:val="clear" w:color="auto" w:fill="auto"/>
            <w:vAlign w:val="center"/>
          </w:tcPr>
          <w:p w14:paraId="0479FAB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2C7F8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737B568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21</w:t>
            </w:r>
          </w:p>
        </w:tc>
        <w:tc>
          <w:tcPr>
            <w:tcW w:w="0" w:type="auto"/>
            <w:shd w:val="clear" w:color="auto" w:fill="auto"/>
            <w:vAlign w:val="center"/>
          </w:tcPr>
          <w:p w14:paraId="46F737C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功能性纺织新材料产业园项目</w:t>
            </w:r>
          </w:p>
        </w:tc>
        <w:tc>
          <w:tcPr>
            <w:tcW w:w="0" w:type="auto"/>
            <w:shd w:val="clear" w:color="auto" w:fill="auto"/>
            <w:vAlign w:val="center"/>
          </w:tcPr>
          <w:p w14:paraId="261F033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761C675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43C345A6">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规划引进航空航天、特种服装装备、高性能阻燃、防电、医疗、建筑等纺织用品项目，以及高技术纤维、高技术面料和高技术产业纺织品的研发应用、人才实训基地、国内外功能性纺织产业链龙头企业区域总部</w:t>
            </w:r>
          </w:p>
        </w:tc>
        <w:tc>
          <w:tcPr>
            <w:tcW w:w="876" w:type="dxa"/>
            <w:shd w:val="clear" w:color="auto" w:fill="auto"/>
            <w:vAlign w:val="center"/>
          </w:tcPr>
          <w:p w14:paraId="6124FB0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120</w:t>
            </w:r>
          </w:p>
        </w:tc>
        <w:tc>
          <w:tcPr>
            <w:tcW w:w="1787" w:type="dxa"/>
            <w:shd w:val="clear" w:color="auto" w:fill="auto"/>
            <w:vAlign w:val="center"/>
          </w:tcPr>
          <w:p w14:paraId="20EBDDB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界首市高新区东城科技园管委会</w:t>
            </w:r>
          </w:p>
        </w:tc>
        <w:tc>
          <w:tcPr>
            <w:tcW w:w="0" w:type="auto"/>
            <w:shd w:val="clear" w:color="auto" w:fill="auto"/>
            <w:vAlign w:val="center"/>
          </w:tcPr>
          <w:p w14:paraId="358EB1A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界首市高新区东城科技园管委会</w:t>
            </w:r>
          </w:p>
        </w:tc>
        <w:tc>
          <w:tcPr>
            <w:tcW w:w="0" w:type="auto"/>
            <w:shd w:val="clear" w:color="auto" w:fill="auto"/>
            <w:vAlign w:val="center"/>
          </w:tcPr>
          <w:p w14:paraId="53CA0B6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7D398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 w:hRule="atLeast"/>
        </w:trPr>
        <w:tc>
          <w:tcPr>
            <w:tcW w:w="0" w:type="auto"/>
            <w:shd w:val="clear" w:color="auto" w:fill="auto"/>
            <w:vAlign w:val="center"/>
          </w:tcPr>
          <w:p w14:paraId="23E8A87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22</w:t>
            </w:r>
          </w:p>
        </w:tc>
        <w:tc>
          <w:tcPr>
            <w:tcW w:w="0" w:type="auto"/>
            <w:shd w:val="clear" w:color="auto" w:fill="auto"/>
            <w:vAlign w:val="center"/>
          </w:tcPr>
          <w:p w14:paraId="11B5C89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动力电池循环利用产业园项目</w:t>
            </w:r>
          </w:p>
        </w:tc>
        <w:tc>
          <w:tcPr>
            <w:tcW w:w="0" w:type="auto"/>
            <w:shd w:val="clear" w:color="auto" w:fill="auto"/>
            <w:vAlign w:val="center"/>
          </w:tcPr>
          <w:p w14:paraId="380FDCB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76DB400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1D0AA54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规划引进铅酸储能电池清洁化生产制造、再生还原铅、电解铅、电芯制造等产业链相关项目，以及动力电池传统技术升级改造，装备自动化、智能化，产品多样化等研发设计、国内外动力电池产业链龙头企业区域总部</w:t>
            </w:r>
          </w:p>
        </w:tc>
        <w:tc>
          <w:tcPr>
            <w:tcW w:w="876" w:type="dxa"/>
            <w:shd w:val="clear" w:color="auto" w:fill="auto"/>
            <w:vAlign w:val="center"/>
          </w:tcPr>
          <w:p w14:paraId="4C25357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180</w:t>
            </w:r>
          </w:p>
        </w:tc>
        <w:tc>
          <w:tcPr>
            <w:tcW w:w="1787" w:type="dxa"/>
            <w:shd w:val="clear" w:color="auto" w:fill="auto"/>
            <w:vAlign w:val="center"/>
          </w:tcPr>
          <w:p w14:paraId="5C6C0E1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界首市高新区田营科技园管委会</w:t>
            </w:r>
          </w:p>
        </w:tc>
        <w:tc>
          <w:tcPr>
            <w:tcW w:w="0" w:type="auto"/>
            <w:shd w:val="clear" w:color="auto" w:fill="auto"/>
            <w:vAlign w:val="center"/>
          </w:tcPr>
          <w:p w14:paraId="31687EB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界首市高新区田营科技园管委会</w:t>
            </w:r>
          </w:p>
        </w:tc>
        <w:tc>
          <w:tcPr>
            <w:tcW w:w="0" w:type="auto"/>
            <w:shd w:val="clear" w:color="auto" w:fill="auto"/>
            <w:vAlign w:val="center"/>
          </w:tcPr>
          <w:p w14:paraId="6EE5DE5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754CD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0" w:type="auto"/>
            <w:shd w:val="clear" w:color="auto" w:fill="auto"/>
            <w:vAlign w:val="center"/>
          </w:tcPr>
          <w:p w14:paraId="1F41A3E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23</w:t>
            </w:r>
          </w:p>
        </w:tc>
        <w:tc>
          <w:tcPr>
            <w:tcW w:w="0" w:type="auto"/>
            <w:shd w:val="clear" w:color="auto" w:fill="auto"/>
            <w:vAlign w:val="center"/>
          </w:tcPr>
          <w:p w14:paraId="515433F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智能物流托盘产业园项目</w:t>
            </w:r>
          </w:p>
        </w:tc>
        <w:tc>
          <w:tcPr>
            <w:tcW w:w="0" w:type="auto"/>
            <w:shd w:val="clear" w:color="auto" w:fill="auto"/>
            <w:vAlign w:val="center"/>
          </w:tcPr>
          <w:p w14:paraId="606F46D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5067FA8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134CB36F">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总建筑面积10万平方米，建设厂房、库房、办公楼等，购置双螺杆改性机器、注塑机等设备，形成年产400万套铁路标准和航空轻量海运出口等物流托盘和3万吨改性新材料的生产能力</w:t>
            </w:r>
          </w:p>
        </w:tc>
        <w:tc>
          <w:tcPr>
            <w:tcW w:w="876" w:type="dxa"/>
            <w:shd w:val="clear" w:color="auto" w:fill="auto"/>
            <w:vAlign w:val="center"/>
          </w:tcPr>
          <w:p w14:paraId="66356A7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w:t>
            </w:r>
          </w:p>
        </w:tc>
        <w:tc>
          <w:tcPr>
            <w:tcW w:w="1787" w:type="dxa"/>
            <w:shd w:val="clear" w:color="auto" w:fill="auto"/>
            <w:vAlign w:val="center"/>
          </w:tcPr>
          <w:p w14:paraId="715958F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界首市高新区北城科技园管委会</w:t>
            </w:r>
          </w:p>
        </w:tc>
        <w:tc>
          <w:tcPr>
            <w:tcW w:w="0" w:type="auto"/>
            <w:shd w:val="clear" w:color="auto" w:fill="auto"/>
            <w:vAlign w:val="center"/>
          </w:tcPr>
          <w:p w14:paraId="76E8C26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界首市高新区北城科技园管委会</w:t>
            </w:r>
          </w:p>
        </w:tc>
        <w:tc>
          <w:tcPr>
            <w:tcW w:w="0" w:type="auto"/>
            <w:shd w:val="clear" w:color="auto" w:fill="auto"/>
            <w:vAlign w:val="center"/>
          </w:tcPr>
          <w:p w14:paraId="1A7BC22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38A63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0" w:type="auto"/>
            <w:shd w:val="clear" w:color="auto" w:fill="auto"/>
            <w:vAlign w:val="center"/>
          </w:tcPr>
          <w:p w14:paraId="44D7E40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24</w:t>
            </w:r>
          </w:p>
        </w:tc>
        <w:tc>
          <w:tcPr>
            <w:tcW w:w="0" w:type="auto"/>
            <w:shd w:val="clear" w:color="auto" w:fill="auto"/>
            <w:vAlign w:val="center"/>
          </w:tcPr>
          <w:p w14:paraId="5FB6346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铝基新材料产业园项目</w:t>
            </w:r>
          </w:p>
        </w:tc>
        <w:tc>
          <w:tcPr>
            <w:tcW w:w="0" w:type="auto"/>
            <w:shd w:val="clear" w:color="auto" w:fill="auto"/>
            <w:vAlign w:val="center"/>
          </w:tcPr>
          <w:p w14:paraId="3F7F621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078279D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6CBEA922">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规划引进铝基新材料拆解、智能分拣、再生铝冶炼、再生铝深加工产业项目，以及高强度高韧性铝合金材料、铝塑复合材料、泡沫铝功能性材料的研发、国内外铝基新材料产业链龙头企业区域总部</w:t>
            </w:r>
          </w:p>
        </w:tc>
        <w:tc>
          <w:tcPr>
            <w:tcW w:w="876" w:type="dxa"/>
            <w:shd w:val="clear" w:color="auto" w:fill="auto"/>
            <w:vAlign w:val="center"/>
          </w:tcPr>
          <w:p w14:paraId="200FC3A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80</w:t>
            </w:r>
          </w:p>
        </w:tc>
        <w:tc>
          <w:tcPr>
            <w:tcW w:w="1787" w:type="dxa"/>
            <w:shd w:val="clear" w:color="auto" w:fill="auto"/>
            <w:vAlign w:val="center"/>
          </w:tcPr>
          <w:p w14:paraId="1B0F9E0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界首市高新区西城科技园管委会</w:t>
            </w:r>
          </w:p>
        </w:tc>
        <w:tc>
          <w:tcPr>
            <w:tcW w:w="0" w:type="auto"/>
            <w:shd w:val="clear" w:color="auto" w:fill="auto"/>
            <w:vAlign w:val="center"/>
          </w:tcPr>
          <w:p w14:paraId="3017A46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界首市高新区西城科技园管委会</w:t>
            </w:r>
          </w:p>
        </w:tc>
        <w:tc>
          <w:tcPr>
            <w:tcW w:w="0" w:type="auto"/>
            <w:shd w:val="clear" w:color="auto" w:fill="auto"/>
            <w:vAlign w:val="center"/>
          </w:tcPr>
          <w:p w14:paraId="0C51103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7709F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0" w:type="auto"/>
            <w:shd w:val="clear" w:color="auto" w:fill="auto"/>
            <w:vAlign w:val="center"/>
          </w:tcPr>
          <w:p w14:paraId="6025987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25</w:t>
            </w:r>
          </w:p>
        </w:tc>
        <w:tc>
          <w:tcPr>
            <w:tcW w:w="0" w:type="auto"/>
            <w:shd w:val="clear" w:color="auto" w:fill="auto"/>
            <w:vAlign w:val="center"/>
          </w:tcPr>
          <w:p w14:paraId="06811B4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化纤产业园项目</w:t>
            </w:r>
          </w:p>
        </w:tc>
        <w:tc>
          <w:tcPr>
            <w:tcW w:w="0" w:type="auto"/>
            <w:shd w:val="clear" w:color="auto" w:fill="auto"/>
            <w:vAlign w:val="center"/>
          </w:tcPr>
          <w:p w14:paraId="0C8E67B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000991B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5786152C">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规划引进废旧化纤预处理，废旧聚酯解聚、精制、再聚合，原液着色涤纶长丝、免印染涤纶化纤布的产业链项目，以及化纤系列产品的研发设计、国内外化纤产业链龙头企业区域总部</w:t>
            </w:r>
          </w:p>
        </w:tc>
        <w:tc>
          <w:tcPr>
            <w:tcW w:w="876" w:type="dxa"/>
            <w:shd w:val="clear" w:color="auto" w:fill="auto"/>
            <w:vAlign w:val="center"/>
          </w:tcPr>
          <w:p w14:paraId="642A372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65</w:t>
            </w:r>
          </w:p>
        </w:tc>
        <w:tc>
          <w:tcPr>
            <w:tcW w:w="1787" w:type="dxa"/>
            <w:shd w:val="clear" w:color="auto" w:fill="auto"/>
            <w:vAlign w:val="center"/>
          </w:tcPr>
          <w:p w14:paraId="22F6378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界首市高新区光武科技园管委会</w:t>
            </w:r>
          </w:p>
        </w:tc>
        <w:tc>
          <w:tcPr>
            <w:tcW w:w="0" w:type="auto"/>
            <w:shd w:val="clear" w:color="auto" w:fill="auto"/>
            <w:vAlign w:val="center"/>
          </w:tcPr>
          <w:p w14:paraId="27CC110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界首市高新区光武科技园管委会</w:t>
            </w:r>
          </w:p>
        </w:tc>
        <w:tc>
          <w:tcPr>
            <w:tcW w:w="0" w:type="auto"/>
            <w:shd w:val="clear" w:color="auto" w:fill="auto"/>
            <w:vAlign w:val="center"/>
          </w:tcPr>
          <w:p w14:paraId="35A169F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16614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6DF4E8B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26</w:t>
            </w:r>
          </w:p>
        </w:tc>
        <w:tc>
          <w:tcPr>
            <w:tcW w:w="0" w:type="auto"/>
            <w:shd w:val="clear" w:color="auto" w:fill="auto"/>
            <w:vAlign w:val="center"/>
          </w:tcPr>
          <w:p w14:paraId="676676D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南都新型铅炭储能电池项目</w:t>
            </w:r>
          </w:p>
        </w:tc>
        <w:tc>
          <w:tcPr>
            <w:tcW w:w="0" w:type="auto"/>
            <w:shd w:val="clear" w:color="auto" w:fill="auto"/>
            <w:vAlign w:val="center"/>
          </w:tcPr>
          <w:p w14:paraId="526922B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42D0D70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6B035739">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总建筑面积20万平方米，建设多栋现代化标准厂房，购置国内外先进设备，形成年产1200万KVAH新型铅碳电池的生产能力</w:t>
            </w:r>
          </w:p>
        </w:tc>
        <w:tc>
          <w:tcPr>
            <w:tcW w:w="876" w:type="dxa"/>
            <w:shd w:val="clear" w:color="auto" w:fill="auto"/>
            <w:vAlign w:val="center"/>
          </w:tcPr>
          <w:p w14:paraId="4DD11C4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50</w:t>
            </w:r>
          </w:p>
        </w:tc>
        <w:tc>
          <w:tcPr>
            <w:tcW w:w="1787" w:type="dxa"/>
            <w:shd w:val="clear" w:color="auto" w:fill="auto"/>
            <w:vAlign w:val="center"/>
          </w:tcPr>
          <w:p w14:paraId="0271DDA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浙江南都电源动力股份有限公司</w:t>
            </w:r>
          </w:p>
        </w:tc>
        <w:tc>
          <w:tcPr>
            <w:tcW w:w="0" w:type="auto"/>
            <w:shd w:val="clear" w:color="auto" w:fill="auto"/>
            <w:vAlign w:val="center"/>
          </w:tcPr>
          <w:p w14:paraId="6FA0C84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界首市高新区田营科技园管委会</w:t>
            </w:r>
          </w:p>
        </w:tc>
        <w:tc>
          <w:tcPr>
            <w:tcW w:w="0" w:type="auto"/>
            <w:shd w:val="clear" w:color="auto" w:fill="auto"/>
            <w:vAlign w:val="center"/>
          </w:tcPr>
          <w:p w14:paraId="133273B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0FE8F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29BFF55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27</w:t>
            </w:r>
          </w:p>
        </w:tc>
        <w:tc>
          <w:tcPr>
            <w:tcW w:w="0" w:type="auto"/>
            <w:shd w:val="clear" w:color="auto" w:fill="auto"/>
            <w:vAlign w:val="center"/>
          </w:tcPr>
          <w:p w14:paraId="27843EB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生物基可降解材料产业园项目</w:t>
            </w:r>
          </w:p>
        </w:tc>
        <w:tc>
          <w:tcPr>
            <w:tcW w:w="0" w:type="auto"/>
            <w:shd w:val="clear" w:color="auto" w:fill="auto"/>
            <w:vAlign w:val="center"/>
          </w:tcPr>
          <w:p w14:paraId="76F3275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5213F64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3AAC18FD">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规划引进快递包装、食品保鲜、购物袋、农药包装、包装材料填充物、电子产品包装等可降解类阻隔性包装膜的技术研发、原材料生产和成品制造等全产业链项目，以及国内外生物基可降解新材料产业链龙头企业区域总部</w:t>
            </w:r>
          </w:p>
        </w:tc>
        <w:tc>
          <w:tcPr>
            <w:tcW w:w="876" w:type="dxa"/>
            <w:shd w:val="clear" w:color="auto" w:fill="auto"/>
            <w:vAlign w:val="center"/>
          </w:tcPr>
          <w:p w14:paraId="65C005A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90</w:t>
            </w:r>
          </w:p>
        </w:tc>
        <w:tc>
          <w:tcPr>
            <w:tcW w:w="1787" w:type="dxa"/>
            <w:shd w:val="clear" w:color="auto" w:fill="auto"/>
            <w:vAlign w:val="center"/>
          </w:tcPr>
          <w:p w14:paraId="3FAC5E3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界首市高新区东城科技园管委会</w:t>
            </w:r>
          </w:p>
        </w:tc>
        <w:tc>
          <w:tcPr>
            <w:tcW w:w="0" w:type="auto"/>
            <w:shd w:val="clear" w:color="auto" w:fill="auto"/>
            <w:vAlign w:val="center"/>
          </w:tcPr>
          <w:p w14:paraId="496D78F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界首市高新区东城科技园管委会</w:t>
            </w:r>
          </w:p>
        </w:tc>
        <w:tc>
          <w:tcPr>
            <w:tcW w:w="0" w:type="auto"/>
            <w:shd w:val="clear" w:color="auto" w:fill="auto"/>
            <w:vAlign w:val="center"/>
          </w:tcPr>
          <w:p w14:paraId="60BC518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1666B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95" w:hRule="atLeast"/>
        </w:trPr>
        <w:tc>
          <w:tcPr>
            <w:tcW w:w="0" w:type="auto"/>
            <w:shd w:val="clear" w:color="auto" w:fill="auto"/>
            <w:vAlign w:val="center"/>
          </w:tcPr>
          <w:p w14:paraId="79E55C5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28</w:t>
            </w:r>
          </w:p>
        </w:tc>
        <w:tc>
          <w:tcPr>
            <w:tcW w:w="0" w:type="auto"/>
            <w:shd w:val="clear" w:color="auto" w:fill="auto"/>
            <w:vAlign w:val="center"/>
          </w:tcPr>
          <w:p w14:paraId="38A1774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高性能塑料管材产业园项目</w:t>
            </w:r>
          </w:p>
        </w:tc>
        <w:tc>
          <w:tcPr>
            <w:tcW w:w="0" w:type="auto"/>
            <w:shd w:val="clear" w:color="auto" w:fill="auto"/>
            <w:vAlign w:val="center"/>
          </w:tcPr>
          <w:p w14:paraId="462A4A1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192622C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48FE4225">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规划引进高性能波纹管材自动化分拣加工处理、改性，再生高性能HDPE波纹管生产，以及高性能波纹管材产品的研发设计、国内高性能波纹管材产业链龙头企业区域总部</w:t>
            </w:r>
          </w:p>
        </w:tc>
        <w:tc>
          <w:tcPr>
            <w:tcW w:w="876" w:type="dxa"/>
            <w:shd w:val="clear" w:color="auto" w:fill="auto"/>
            <w:vAlign w:val="center"/>
          </w:tcPr>
          <w:p w14:paraId="6450E5E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150</w:t>
            </w:r>
          </w:p>
        </w:tc>
        <w:tc>
          <w:tcPr>
            <w:tcW w:w="1787" w:type="dxa"/>
            <w:shd w:val="clear" w:color="auto" w:fill="auto"/>
            <w:vAlign w:val="center"/>
          </w:tcPr>
          <w:p w14:paraId="2EFC9F8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界首市高新区光武科技园管委会</w:t>
            </w:r>
          </w:p>
        </w:tc>
        <w:tc>
          <w:tcPr>
            <w:tcW w:w="0" w:type="auto"/>
            <w:shd w:val="clear" w:color="auto" w:fill="auto"/>
            <w:vAlign w:val="center"/>
          </w:tcPr>
          <w:p w14:paraId="7453E4A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界首市高新区光武科技园管委会</w:t>
            </w:r>
          </w:p>
        </w:tc>
        <w:tc>
          <w:tcPr>
            <w:tcW w:w="0" w:type="auto"/>
            <w:shd w:val="clear" w:color="auto" w:fill="auto"/>
            <w:vAlign w:val="center"/>
          </w:tcPr>
          <w:p w14:paraId="30D0415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7D91A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95" w:hRule="atLeast"/>
        </w:trPr>
        <w:tc>
          <w:tcPr>
            <w:tcW w:w="0" w:type="auto"/>
            <w:shd w:val="clear" w:color="auto" w:fill="auto"/>
            <w:vAlign w:val="center"/>
          </w:tcPr>
          <w:p w14:paraId="453D37C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29</w:t>
            </w:r>
          </w:p>
        </w:tc>
        <w:tc>
          <w:tcPr>
            <w:tcW w:w="0" w:type="auto"/>
            <w:shd w:val="clear" w:color="auto" w:fill="auto"/>
            <w:vAlign w:val="center"/>
          </w:tcPr>
          <w:p w14:paraId="767E610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智能装备制造产业园项目</w:t>
            </w:r>
          </w:p>
        </w:tc>
        <w:tc>
          <w:tcPr>
            <w:tcW w:w="0" w:type="auto"/>
            <w:shd w:val="clear" w:color="auto" w:fill="auto"/>
            <w:vAlign w:val="center"/>
          </w:tcPr>
          <w:p w14:paraId="36D3CE0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706CA58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6943046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规划引进智能粮食仓储设备、农业机械、数字智能化粮库、智能机器人、智慧电梯等项目，以及信息系统集成与制造的研发设计、国内外智能化机械产业链龙头企业区域总部</w:t>
            </w:r>
          </w:p>
        </w:tc>
        <w:tc>
          <w:tcPr>
            <w:tcW w:w="876" w:type="dxa"/>
            <w:shd w:val="clear" w:color="auto" w:fill="auto"/>
            <w:vAlign w:val="center"/>
          </w:tcPr>
          <w:p w14:paraId="14E4961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85</w:t>
            </w:r>
          </w:p>
        </w:tc>
        <w:tc>
          <w:tcPr>
            <w:tcW w:w="1787" w:type="dxa"/>
            <w:shd w:val="clear" w:color="auto" w:fill="auto"/>
            <w:vAlign w:val="center"/>
          </w:tcPr>
          <w:p w14:paraId="3079E42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界首市高新区西城科技园管委会</w:t>
            </w:r>
          </w:p>
        </w:tc>
        <w:tc>
          <w:tcPr>
            <w:tcW w:w="0" w:type="auto"/>
            <w:shd w:val="clear" w:color="auto" w:fill="auto"/>
            <w:vAlign w:val="center"/>
          </w:tcPr>
          <w:p w14:paraId="74633E8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界首市高新区西城科技园管委会</w:t>
            </w:r>
          </w:p>
        </w:tc>
        <w:tc>
          <w:tcPr>
            <w:tcW w:w="0" w:type="auto"/>
            <w:shd w:val="clear" w:color="auto" w:fill="auto"/>
            <w:vAlign w:val="center"/>
          </w:tcPr>
          <w:p w14:paraId="0D154CF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16124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0" w:type="auto"/>
            <w:shd w:val="clear" w:color="auto" w:fill="auto"/>
            <w:vAlign w:val="center"/>
          </w:tcPr>
          <w:p w14:paraId="3792D99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30</w:t>
            </w:r>
          </w:p>
        </w:tc>
        <w:tc>
          <w:tcPr>
            <w:tcW w:w="0" w:type="auto"/>
            <w:shd w:val="clear" w:color="auto" w:fill="auto"/>
            <w:vAlign w:val="center"/>
          </w:tcPr>
          <w:p w14:paraId="0B19C90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融城颖南片区开发项目</w:t>
            </w:r>
          </w:p>
        </w:tc>
        <w:tc>
          <w:tcPr>
            <w:tcW w:w="0" w:type="auto"/>
            <w:shd w:val="clear" w:color="auto" w:fill="auto"/>
            <w:vAlign w:val="center"/>
          </w:tcPr>
          <w:p w14:paraId="574797C9">
            <w:pPr>
              <w:jc w:val="center"/>
              <w:rPr>
                <w:rFonts w:hint="eastAsia" w:ascii="仿宋_GB2312" w:hAnsi="宋体" w:eastAsia="仿宋_GB2312" w:cs="仿宋_GB2312"/>
                <w:i w:val="0"/>
                <w:iCs w:val="0"/>
                <w:color w:val="000000"/>
                <w:sz w:val="22"/>
                <w:szCs w:val="22"/>
                <w:u w:val="none"/>
              </w:rPr>
            </w:pPr>
          </w:p>
        </w:tc>
        <w:tc>
          <w:tcPr>
            <w:tcW w:w="0" w:type="auto"/>
            <w:shd w:val="clear" w:color="auto" w:fill="auto"/>
            <w:vAlign w:val="center"/>
          </w:tcPr>
          <w:p w14:paraId="75C63B7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346B8C92">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占地1000亩，总建筑面积150万平方米，建设集住宅小区、学校、卫生、游园、商业服务等一体化服务型社区</w:t>
            </w:r>
          </w:p>
        </w:tc>
        <w:tc>
          <w:tcPr>
            <w:tcW w:w="876" w:type="dxa"/>
            <w:shd w:val="clear" w:color="auto" w:fill="auto"/>
            <w:vAlign w:val="center"/>
          </w:tcPr>
          <w:p w14:paraId="19F9D2C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60</w:t>
            </w:r>
          </w:p>
        </w:tc>
        <w:tc>
          <w:tcPr>
            <w:tcW w:w="1787" w:type="dxa"/>
            <w:shd w:val="clear" w:color="auto" w:fill="auto"/>
            <w:vAlign w:val="center"/>
          </w:tcPr>
          <w:p w14:paraId="472E3F7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融城集团</w:t>
            </w:r>
          </w:p>
        </w:tc>
        <w:tc>
          <w:tcPr>
            <w:tcW w:w="0" w:type="auto"/>
            <w:shd w:val="clear" w:color="auto" w:fill="auto"/>
            <w:vAlign w:val="center"/>
          </w:tcPr>
          <w:p w14:paraId="6C8D046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融城集团</w:t>
            </w:r>
          </w:p>
        </w:tc>
        <w:tc>
          <w:tcPr>
            <w:tcW w:w="0" w:type="auto"/>
            <w:shd w:val="clear" w:color="auto" w:fill="auto"/>
            <w:vAlign w:val="center"/>
          </w:tcPr>
          <w:p w14:paraId="378504C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34B29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21007C4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31</w:t>
            </w:r>
          </w:p>
        </w:tc>
        <w:tc>
          <w:tcPr>
            <w:tcW w:w="0" w:type="auto"/>
            <w:shd w:val="clear" w:color="auto" w:fill="auto"/>
            <w:vAlign w:val="center"/>
          </w:tcPr>
          <w:p w14:paraId="7DDED8A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功能性食品产业园项目</w:t>
            </w:r>
          </w:p>
        </w:tc>
        <w:tc>
          <w:tcPr>
            <w:tcW w:w="0" w:type="auto"/>
            <w:shd w:val="clear" w:color="auto" w:fill="auto"/>
            <w:vAlign w:val="center"/>
          </w:tcPr>
          <w:p w14:paraId="6312C97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w:t>
            </w:r>
          </w:p>
        </w:tc>
        <w:tc>
          <w:tcPr>
            <w:tcW w:w="0" w:type="auto"/>
            <w:shd w:val="clear" w:color="auto" w:fill="auto"/>
            <w:vAlign w:val="center"/>
          </w:tcPr>
          <w:p w14:paraId="4AB5ABB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77DECEB1">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规划引进大健康食品的技术攻关、原料生产、成品制造、销售等上下游产业配套项目，以及快速食品、多品种盐、功能性食品加工和制造，国内功能性食品产业链龙头企业区域总部</w:t>
            </w:r>
          </w:p>
        </w:tc>
        <w:tc>
          <w:tcPr>
            <w:tcW w:w="876" w:type="dxa"/>
            <w:shd w:val="clear" w:color="auto" w:fill="auto"/>
            <w:vAlign w:val="center"/>
          </w:tcPr>
          <w:p w14:paraId="4B3B999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75</w:t>
            </w:r>
          </w:p>
        </w:tc>
        <w:tc>
          <w:tcPr>
            <w:tcW w:w="1787" w:type="dxa"/>
            <w:shd w:val="clear" w:color="auto" w:fill="auto"/>
            <w:vAlign w:val="center"/>
          </w:tcPr>
          <w:p w14:paraId="77562FF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界首市高新区东城科技园管委会</w:t>
            </w:r>
          </w:p>
        </w:tc>
        <w:tc>
          <w:tcPr>
            <w:tcW w:w="0" w:type="auto"/>
            <w:shd w:val="clear" w:color="auto" w:fill="auto"/>
            <w:vAlign w:val="center"/>
          </w:tcPr>
          <w:p w14:paraId="5327335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界首市高新区东城科技园管委会</w:t>
            </w:r>
          </w:p>
        </w:tc>
        <w:tc>
          <w:tcPr>
            <w:tcW w:w="0" w:type="auto"/>
            <w:shd w:val="clear" w:color="auto" w:fill="auto"/>
            <w:vAlign w:val="center"/>
          </w:tcPr>
          <w:p w14:paraId="7564874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66934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2" w:hRule="atLeast"/>
        </w:trPr>
        <w:tc>
          <w:tcPr>
            <w:tcW w:w="0" w:type="auto"/>
            <w:gridSpan w:val="9"/>
            <w:shd w:val="clear" w:color="auto" w:fill="auto"/>
            <w:vAlign w:val="center"/>
          </w:tcPr>
          <w:p w14:paraId="7F04E969">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经开区16个，总投资463.1亿元</w:t>
            </w:r>
          </w:p>
        </w:tc>
      </w:tr>
      <w:tr w14:paraId="36D44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95" w:hRule="atLeast"/>
        </w:trPr>
        <w:tc>
          <w:tcPr>
            <w:tcW w:w="0" w:type="auto"/>
            <w:shd w:val="clear" w:color="auto" w:fill="auto"/>
            <w:vAlign w:val="center"/>
          </w:tcPr>
          <w:p w14:paraId="6D1CA3F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w:t>
            </w:r>
          </w:p>
        </w:tc>
        <w:tc>
          <w:tcPr>
            <w:tcW w:w="0" w:type="auto"/>
            <w:shd w:val="clear" w:color="auto" w:fill="auto"/>
            <w:vAlign w:val="center"/>
          </w:tcPr>
          <w:p w14:paraId="37B23E8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安徽（台州）智能制造产业基地项目</w:t>
            </w:r>
          </w:p>
        </w:tc>
        <w:tc>
          <w:tcPr>
            <w:tcW w:w="0" w:type="auto"/>
            <w:shd w:val="clear" w:color="auto" w:fill="auto"/>
            <w:vAlign w:val="center"/>
          </w:tcPr>
          <w:p w14:paraId="5D0BFE6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经开区</w:t>
            </w:r>
          </w:p>
        </w:tc>
        <w:tc>
          <w:tcPr>
            <w:tcW w:w="0" w:type="auto"/>
            <w:shd w:val="clear" w:color="auto" w:fill="auto"/>
            <w:vAlign w:val="center"/>
          </w:tcPr>
          <w:p w14:paraId="2012C6B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34070C41">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占地面积636亩，建设高铁配件孵化园区、大健康设备园区、智能检测中心等，引进凯凌集团等智能制造企业，打造年产值百亿的产业园</w:t>
            </w:r>
          </w:p>
        </w:tc>
        <w:tc>
          <w:tcPr>
            <w:tcW w:w="876" w:type="dxa"/>
            <w:shd w:val="clear" w:color="auto" w:fill="auto"/>
            <w:vAlign w:val="center"/>
          </w:tcPr>
          <w:p w14:paraId="01D64A5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26</w:t>
            </w:r>
          </w:p>
        </w:tc>
        <w:tc>
          <w:tcPr>
            <w:tcW w:w="1787" w:type="dxa"/>
            <w:shd w:val="clear" w:color="auto" w:fill="auto"/>
            <w:vAlign w:val="center"/>
          </w:tcPr>
          <w:p w14:paraId="59266E2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阜阳经开区产业发展投资有限公司</w:t>
            </w:r>
          </w:p>
        </w:tc>
        <w:tc>
          <w:tcPr>
            <w:tcW w:w="0" w:type="auto"/>
            <w:shd w:val="clear" w:color="auto" w:fill="auto"/>
            <w:vAlign w:val="center"/>
          </w:tcPr>
          <w:p w14:paraId="656F280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阜阳经开区管委会</w:t>
            </w:r>
          </w:p>
        </w:tc>
        <w:tc>
          <w:tcPr>
            <w:tcW w:w="0" w:type="auto"/>
            <w:shd w:val="clear" w:color="auto" w:fill="auto"/>
            <w:vAlign w:val="center"/>
          </w:tcPr>
          <w:p w14:paraId="4818639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20ECA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95" w:hRule="atLeast"/>
        </w:trPr>
        <w:tc>
          <w:tcPr>
            <w:tcW w:w="0" w:type="auto"/>
            <w:shd w:val="clear" w:color="auto" w:fill="auto"/>
            <w:vAlign w:val="center"/>
          </w:tcPr>
          <w:p w14:paraId="0F325A7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w:t>
            </w:r>
          </w:p>
        </w:tc>
        <w:tc>
          <w:tcPr>
            <w:tcW w:w="0" w:type="auto"/>
            <w:shd w:val="clear" w:color="auto" w:fill="auto"/>
            <w:vAlign w:val="center"/>
          </w:tcPr>
          <w:p w14:paraId="2592C23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阜阳卷烟厂易地技改项目</w:t>
            </w:r>
          </w:p>
        </w:tc>
        <w:tc>
          <w:tcPr>
            <w:tcW w:w="0" w:type="auto"/>
            <w:shd w:val="clear" w:color="auto" w:fill="auto"/>
            <w:vAlign w:val="center"/>
          </w:tcPr>
          <w:p w14:paraId="149C2F4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经开区</w:t>
            </w:r>
          </w:p>
        </w:tc>
        <w:tc>
          <w:tcPr>
            <w:tcW w:w="0" w:type="auto"/>
            <w:shd w:val="clear" w:color="auto" w:fill="auto"/>
            <w:vAlign w:val="center"/>
          </w:tcPr>
          <w:p w14:paraId="434A43E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6BF9C6DC">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总建筑面积23.7万平方米，建设卷烟生产线，购置卷烟生产设备，形成年产卷烟40万箱的生产能力</w:t>
            </w:r>
          </w:p>
        </w:tc>
        <w:tc>
          <w:tcPr>
            <w:tcW w:w="876" w:type="dxa"/>
            <w:shd w:val="clear" w:color="auto" w:fill="auto"/>
            <w:vAlign w:val="center"/>
          </w:tcPr>
          <w:p w14:paraId="5C413F3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16.6</w:t>
            </w:r>
          </w:p>
        </w:tc>
        <w:tc>
          <w:tcPr>
            <w:tcW w:w="1787" w:type="dxa"/>
            <w:shd w:val="clear" w:color="auto" w:fill="auto"/>
            <w:vAlign w:val="center"/>
          </w:tcPr>
          <w:p w14:paraId="6809637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安徽中烟工业公司阜阳卷烟厂</w:t>
            </w:r>
          </w:p>
        </w:tc>
        <w:tc>
          <w:tcPr>
            <w:tcW w:w="0" w:type="auto"/>
            <w:shd w:val="clear" w:color="auto" w:fill="auto"/>
            <w:vAlign w:val="center"/>
          </w:tcPr>
          <w:p w14:paraId="1BB5C7F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阜阳经开区管委会</w:t>
            </w:r>
          </w:p>
        </w:tc>
        <w:tc>
          <w:tcPr>
            <w:tcW w:w="0" w:type="auto"/>
            <w:shd w:val="clear" w:color="auto" w:fill="auto"/>
            <w:vAlign w:val="center"/>
          </w:tcPr>
          <w:p w14:paraId="36E40AA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179F3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0" w:type="auto"/>
            <w:shd w:val="clear" w:color="auto" w:fill="auto"/>
            <w:vAlign w:val="center"/>
          </w:tcPr>
          <w:p w14:paraId="23199F0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w:t>
            </w:r>
          </w:p>
        </w:tc>
        <w:tc>
          <w:tcPr>
            <w:tcW w:w="0" w:type="auto"/>
            <w:shd w:val="clear" w:color="auto" w:fill="auto"/>
            <w:vAlign w:val="center"/>
          </w:tcPr>
          <w:p w14:paraId="033C7C1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光伏新能源产业园项目</w:t>
            </w:r>
          </w:p>
        </w:tc>
        <w:tc>
          <w:tcPr>
            <w:tcW w:w="0" w:type="auto"/>
            <w:shd w:val="clear" w:color="auto" w:fill="auto"/>
            <w:vAlign w:val="center"/>
          </w:tcPr>
          <w:p w14:paraId="285076E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经开区</w:t>
            </w:r>
          </w:p>
        </w:tc>
        <w:tc>
          <w:tcPr>
            <w:tcW w:w="0" w:type="auto"/>
            <w:shd w:val="clear" w:color="auto" w:fill="auto"/>
            <w:vAlign w:val="center"/>
          </w:tcPr>
          <w:p w14:paraId="5741E15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435198FC">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以年产20GWNplus超高效单晶太阳能硅片项目为基础，推进太阳能光伏全产业链协同发展，按照“拉棒切片—太阳能电池—光伏组件”整体推进的思路，力争建成全省最大的光伏产业基地</w:t>
            </w:r>
          </w:p>
        </w:tc>
        <w:tc>
          <w:tcPr>
            <w:tcW w:w="876" w:type="dxa"/>
            <w:shd w:val="clear" w:color="auto" w:fill="auto"/>
            <w:vAlign w:val="center"/>
          </w:tcPr>
          <w:p w14:paraId="7266A4E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120</w:t>
            </w:r>
          </w:p>
        </w:tc>
        <w:tc>
          <w:tcPr>
            <w:tcW w:w="1787" w:type="dxa"/>
            <w:shd w:val="clear" w:color="auto" w:fill="auto"/>
            <w:vAlign w:val="center"/>
          </w:tcPr>
          <w:p w14:paraId="7A946CC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安徽阜兴新能源科技有限公司</w:t>
            </w:r>
          </w:p>
        </w:tc>
        <w:tc>
          <w:tcPr>
            <w:tcW w:w="0" w:type="auto"/>
            <w:shd w:val="clear" w:color="auto" w:fill="auto"/>
            <w:vAlign w:val="center"/>
          </w:tcPr>
          <w:p w14:paraId="36A0A6E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阜阳经开区管委会</w:t>
            </w:r>
          </w:p>
        </w:tc>
        <w:tc>
          <w:tcPr>
            <w:tcW w:w="0" w:type="auto"/>
            <w:shd w:val="clear" w:color="auto" w:fill="auto"/>
            <w:vAlign w:val="center"/>
          </w:tcPr>
          <w:p w14:paraId="164B215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1162D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65" w:hRule="atLeast"/>
        </w:trPr>
        <w:tc>
          <w:tcPr>
            <w:tcW w:w="0" w:type="auto"/>
            <w:shd w:val="clear" w:color="auto" w:fill="auto"/>
            <w:vAlign w:val="center"/>
          </w:tcPr>
          <w:p w14:paraId="5E3B9E9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4</w:t>
            </w:r>
          </w:p>
        </w:tc>
        <w:tc>
          <w:tcPr>
            <w:tcW w:w="0" w:type="auto"/>
            <w:shd w:val="clear" w:color="auto" w:fill="auto"/>
            <w:vAlign w:val="center"/>
          </w:tcPr>
          <w:p w14:paraId="52EA494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皖北新型绿色材料产业园</w:t>
            </w:r>
          </w:p>
        </w:tc>
        <w:tc>
          <w:tcPr>
            <w:tcW w:w="0" w:type="auto"/>
            <w:shd w:val="clear" w:color="auto" w:fill="auto"/>
            <w:vAlign w:val="center"/>
          </w:tcPr>
          <w:p w14:paraId="0A98121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经开区</w:t>
            </w:r>
          </w:p>
        </w:tc>
        <w:tc>
          <w:tcPr>
            <w:tcW w:w="0" w:type="auto"/>
            <w:shd w:val="clear" w:color="auto" w:fill="auto"/>
            <w:vAlign w:val="center"/>
          </w:tcPr>
          <w:p w14:paraId="401B5D7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32A174D3">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占地415亩，总建筑面积39万平方米，规划建设满足新型材料项目生产需要的标准化工业厂房，配建综合服务设施等，主要招引磁性新材料、光电新材料和半导体新材料等相关企业入驻</w:t>
            </w:r>
          </w:p>
        </w:tc>
        <w:tc>
          <w:tcPr>
            <w:tcW w:w="876" w:type="dxa"/>
            <w:shd w:val="clear" w:color="auto" w:fill="auto"/>
            <w:vAlign w:val="center"/>
          </w:tcPr>
          <w:p w14:paraId="097F41B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18</w:t>
            </w:r>
          </w:p>
        </w:tc>
        <w:tc>
          <w:tcPr>
            <w:tcW w:w="1787" w:type="dxa"/>
            <w:shd w:val="clear" w:color="auto" w:fill="auto"/>
            <w:vAlign w:val="center"/>
          </w:tcPr>
          <w:p w14:paraId="611240A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阜阳经济开发区产业发展投资有限公司</w:t>
            </w:r>
          </w:p>
        </w:tc>
        <w:tc>
          <w:tcPr>
            <w:tcW w:w="0" w:type="auto"/>
            <w:shd w:val="clear" w:color="auto" w:fill="auto"/>
            <w:vAlign w:val="center"/>
          </w:tcPr>
          <w:p w14:paraId="1F7B7B7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阜阳经开区管委会</w:t>
            </w:r>
          </w:p>
        </w:tc>
        <w:tc>
          <w:tcPr>
            <w:tcW w:w="0" w:type="auto"/>
            <w:shd w:val="clear" w:color="auto" w:fill="auto"/>
            <w:vAlign w:val="center"/>
          </w:tcPr>
          <w:p w14:paraId="54B1986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613F6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95" w:hRule="atLeast"/>
        </w:trPr>
        <w:tc>
          <w:tcPr>
            <w:tcW w:w="0" w:type="auto"/>
            <w:shd w:val="clear" w:color="auto" w:fill="auto"/>
            <w:vAlign w:val="center"/>
          </w:tcPr>
          <w:p w14:paraId="04F9944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w:t>
            </w:r>
          </w:p>
        </w:tc>
        <w:tc>
          <w:tcPr>
            <w:tcW w:w="0" w:type="auto"/>
            <w:shd w:val="clear" w:color="auto" w:fill="auto"/>
            <w:vAlign w:val="center"/>
          </w:tcPr>
          <w:p w14:paraId="2BC9D95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产业发展综合配套服务中心项目</w:t>
            </w:r>
          </w:p>
        </w:tc>
        <w:tc>
          <w:tcPr>
            <w:tcW w:w="0" w:type="auto"/>
            <w:shd w:val="clear" w:color="auto" w:fill="auto"/>
            <w:vAlign w:val="center"/>
          </w:tcPr>
          <w:p w14:paraId="0F342BD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经开区</w:t>
            </w:r>
          </w:p>
        </w:tc>
        <w:tc>
          <w:tcPr>
            <w:tcW w:w="0" w:type="auto"/>
            <w:shd w:val="clear" w:color="auto" w:fill="auto"/>
            <w:vAlign w:val="center"/>
          </w:tcPr>
          <w:p w14:paraId="4942EE8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30141843">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工业配套服务综合体建设内容包括：智能仓库、共享科研车间、综合服务中心（一站式涉企办事中心）、孵化中心及各类附属设施和地下车库人防工程等建设内容</w:t>
            </w:r>
          </w:p>
        </w:tc>
        <w:tc>
          <w:tcPr>
            <w:tcW w:w="876" w:type="dxa"/>
            <w:shd w:val="clear" w:color="auto" w:fill="auto"/>
            <w:vAlign w:val="center"/>
          </w:tcPr>
          <w:p w14:paraId="66C5549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w:t>
            </w:r>
          </w:p>
        </w:tc>
        <w:tc>
          <w:tcPr>
            <w:tcW w:w="1787" w:type="dxa"/>
            <w:shd w:val="clear" w:color="auto" w:fill="auto"/>
            <w:vAlign w:val="center"/>
          </w:tcPr>
          <w:p w14:paraId="181B280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阜阳经开区产业发展投资有限公司</w:t>
            </w:r>
          </w:p>
        </w:tc>
        <w:tc>
          <w:tcPr>
            <w:tcW w:w="0" w:type="auto"/>
            <w:shd w:val="clear" w:color="auto" w:fill="auto"/>
            <w:vAlign w:val="center"/>
          </w:tcPr>
          <w:p w14:paraId="615EE51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阜阳经开区管委会</w:t>
            </w:r>
          </w:p>
        </w:tc>
        <w:tc>
          <w:tcPr>
            <w:tcW w:w="0" w:type="auto"/>
            <w:shd w:val="clear" w:color="auto" w:fill="auto"/>
            <w:vAlign w:val="center"/>
          </w:tcPr>
          <w:p w14:paraId="4BC041C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07973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00852EA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6</w:t>
            </w:r>
          </w:p>
        </w:tc>
        <w:tc>
          <w:tcPr>
            <w:tcW w:w="0" w:type="auto"/>
            <w:shd w:val="clear" w:color="auto" w:fill="auto"/>
            <w:vAlign w:val="center"/>
          </w:tcPr>
          <w:p w14:paraId="411D046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安徽凯凌智能制造产业园项</w:t>
            </w:r>
          </w:p>
        </w:tc>
        <w:tc>
          <w:tcPr>
            <w:tcW w:w="0" w:type="auto"/>
            <w:shd w:val="clear" w:color="auto" w:fill="auto"/>
            <w:vAlign w:val="center"/>
          </w:tcPr>
          <w:p w14:paraId="6C215B8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经开区</w:t>
            </w:r>
          </w:p>
        </w:tc>
        <w:tc>
          <w:tcPr>
            <w:tcW w:w="0" w:type="auto"/>
            <w:shd w:val="clear" w:color="auto" w:fill="auto"/>
            <w:vAlign w:val="center"/>
          </w:tcPr>
          <w:p w14:paraId="7E035E0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344CE7FA">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建设智能制造产业园，主要生产汽车配件等</w:t>
            </w:r>
          </w:p>
        </w:tc>
        <w:tc>
          <w:tcPr>
            <w:tcW w:w="876" w:type="dxa"/>
            <w:shd w:val="clear" w:color="auto" w:fill="auto"/>
            <w:vAlign w:val="center"/>
          </w:tcPr>
          <w:p w14:paraId="0C5400A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32AB5F3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玉环凯凌机械集团股份有限公司</w:t>
            </w:r>
          </w:p>
        </w:tc>
        <w:tc>
          <w:tcPr>
            <w:tcW w:w="0" w:type="auto"/>
            <w:shd w:val="clear" w:color="auto" w:fill="auto"/>
            <w:vAlign w:val="center"/>
          </w:tcPr>
          <w:p w14:paraId="501DBCE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阜阳经开区管委会</w:t>
            </w:r>
          </w:p>
        </w:tc>
        <w:tc>
          <w:tcPr>
            <w:tcW w:w="0" w:type="auto"/>
            <w:shd w:val="clear" w:color="auto" w:fill="auto"/>
            <w:vAlign w:val="center"/>
          </w:tcPr>
          <w:p w14:paraId="6A99FAB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1F4B7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4EFA46B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7</w:t>
            </w:r>
          </w:p>
        </w:tc>
        <w:tc>
          <w:tcPr>
            <w:tcW w:w="0" w:type="auto"/>
            <w:shd w:val="clear" w:color="auto" w:fill="auto"/>
            <w:vAlign w:val="center"/>
          </w:tcPr>
          <w:p w14:paraId="2200F02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年产10GWh钠离子电池生产项目</w:t>
            </w:r>
          </w:p>
        </w:tc>
        <w:tc>
          <w:tcPr>
            <w:tcW w:w="0" w:type="auto"/>
            <w:shd w:val="clear" w:color="auto" w:fill="auto"/>
            <w:vAlign w:val="center"/>
          </w:tcPr>
          <w:p w14:paraId="6472793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经开区</w:t>
            </w:r>
          </w:p>
        </w:tc>
        <w:tc>
          <w:tcPr>
            <w:tcW w:w="0" w:type="auto"/>
            <w:shd w:val="clear" w:color="auto" w:fill="auto"/>
            <w:vAlign w:val="center"/>
          </w:tcPr>
          <w:p w14:paraId="021ABCF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5F3C1CB3">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新建钠离子电池项目，形成年产10GWh钠离子电池的生产能力</w:t>
            </w:r>
          </w:p>
        </w:tc>
        <w:tc>
          <w:tcPr>
            <w:tcW w:w="876" w:type="dxa"/>
            <w:shd w:val="clear" w:color="auto" w:fill="auto"/>
            <w:vAlign w:val="center"/>
          </w:tcPr>
          <w:p w14:paraId="38FE904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w:t>
            </w:r>
          </w:p>
        </w:tc>
        <w:tc>
          <w:tcPr>
            <w:tcW w:w="1787" w:type="dxa"/>
            <w:shd w:val="clear" w:color="auto" w:fill="auto"/>
            <w:vAlign w:val="center"/>
          </w:tcPr>
          <w:p w14:paraId="445BB01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北京中科海钠科技有限责任公司</w:t>
            </w:r>
          </w:p>
        </w:tc>
        <w:tc>
          <w:tcPr>
            <w:tcW w:w="0" w:type="auto"/>
            <w:shd w:val="clear" w:color="auto" w:fill="auto"/>
            <w:vAlign w:val="center"/>
          </w:tcPr>
          <w:p w14:paraId="2AEAB6D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阜阳经开区管委会</w:t>
            </w:r>
          </w:p>
        </w:tc>
        <w:tc>
          <w:tcPr>
            <w:tcW w:w="0" w:type="auto"/>
            <w:shd w:val="clear" w:color="auto" w:fill="auto"/>
            <w:vAlign w:val="center"/>
          </w:tcPr>
          <w:p w14:paraId="5286D0E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0C368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3A12452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8</w:t>
            </w:r>
          </w:p>
        </w:tc>
        <w:tc>
          <w:tcPr>
            <w:tcW w:w="0" w:type="auto"/>
            <w:shd w:val="clear" w:color="auto" w:fill="auto"/>
            <w:vAlign w:val="center"/>
          </w:tcPr>
          <w:p w14:paraId="56FE58C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多能源高温相变蓄热节能装置生产项目</w:t>
            </w:r>
          </w:p>
        </w:tc>
        <w:tc>
          <w:tcPr>
            <w:tcW w:w="0" w:type="auto"/>
            <w:shd w:val="clear" w:color="auto" w:fill="auto"/>
            <w:vAlign w:val="center"/>
          </w:tcPr>
          <w:p w14:paraId="1260C32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经开区</w:t>
            </w:r>
          </w:p>
        </w:tc>
        <w:tc>
          <w:tcPr>
            <w:tcW w:w="0" w:type="auto"/>
            <w:shd w:val="clear" w:color="auto" w:fill="auto"/>
            <w:vAlign w:val="center"/>
          </w:tcPr>
          <w:p w14:paraId="733F454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7358690D">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占地150亩，建设厂房、研发中心、办公楼等，购置多能源高温相变蓄热节能装置生产设备，形成年产80套多能源高温相变蓄热节能装置的生产能力</w:t>
            </w:r>
          </w:p>
        </w:tc>
        <w:tc>
          <w:tcPr>
            <w:tcW w:w="876" w:type="dxa"/>
            <w:shd w:val="clear" w:color="auto" w:fill="auto"/>
            <w:vAlign w:val="center"/>
          </w:tcPr>
          <w:p w14:paraId="10A185F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5C46534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安徽国电能源设备工程有限公司</w:t>
            </w:r>
          </w:p>
        </w:tc>
        <w:tc>
          <w:tcPr>
            <w:tcW w:w="0" w:type="auto"/>
            <w:shd w:val="clear" w:color="auto" w:fill="auto"/>
            <w:vAlign w:val="center"/>
          </w:tcPr>
          <w:p w14:paraId="07F269D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阜阳经开区管委会</w:t>
            </w:r>
          </w:p>
        </w:tc>
        <w:tc>
          <w:tcPr>
            <w:tcW w:w="0" w:type="auto"/>
            <w:shd w:val="clear" w:color="auto" w:fill="auto"/>
            <w:vAlign w:val="center"/>
          </w:tcPr>
          <w:p w14:paraId="6B82F56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646EE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0" w:type="auto"/>
            <w:shd w:val="clear" w:color="auto" w:fill="auto"/>
            <w:vAlign w:val="center"/>
          </w:tcPr>
          <w:p w14:paraId="384EC54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9</w:t>
            </w:r>
          </w:p>
        </w:tc>
        <w:tc>
          <w:tcPr>
            <w:tcW w:w="0" w:type="auto"/>
            <w:shd w:val="clear" w:color="auto" w:fill="auto"/>
            <w:vAlign w:val="center"/>
          </w:tcPr>
          <w:p w14:paraId="35E029F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生态科研酿酒基地二期工程项目</w:t>
            </w:r>
          </w:p>
        </w:tc>
        <w:tc>
          <w:tcPr>
            <w:tcW w:w="0" w:type="auto"/>
            <w:shd w:val="clear" w:color="auto" w:fill="auto"/>
            <w:vAlign w:val="center"/>
          </w:tcPr>
          <w:p w14:paraId="618F2F1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经开区</w:t>
            </w:r>
          </w:p>
        </w:tc>
        <w:tc>
          <w:tcPr>
            <w:tcW w:w="0" w:type="auto"/>
            <w:shd w:val="clear" w:color="auto" w:fill="auto"/>
            <w:vAlign w:val="center"/>
          </w:tcPr>
          <w:p w14:paraId="22AC8D7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7C01B462">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350亩，总建筑面积17.3万平方米，建设麸曲车间、酿造车间、陶坛库、酒库、瓶盖车间、仓库、辅料库等生产和仓储用房，购置自动化、智能化酿酒生产设备，项目建成达产后将新增优质原酒7500吨/年的生产能力</w:t>
            </w:r>
          </w:p>
        </w:tc>
        <w:tc>
          <w:tcPr>
            <w:tcW w:w="876" w:type="dxa"/>
            <w:shd w:val="clear" w:color="auto" w:fill="auto"/>
            <w:vAlign w:val="center"/>
          </w:tcPr>
          <w:p w14:paraId="1C142F1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10.5</w:t>
            </w:r>
          </w:p>
        </w:tc>
        <w:tc>
          <w:tcPr>
            <w:tcW w:w="1787" w:type="dxa"/>
            <w:shd w:val="clear" w:color="auto" w:fill="auto"/>
            <w:vAlign w:val="center"/>
          </w:tcPr>
          <w:p w14:paraId="4E44325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安徽金种子酒业股份有限公司</w:t>
            </w:r>
          </w:p>
        </w:tc>
        <w:tc>
          <w:tcPr>
            <w:tcW w:w="0" w:type="auto"/>
            <w:shd w:val="clear" w:color="auto" w:fill="auto"/>
            <w:vAlign w:val="center"/>
          </w:tcPr>
          <w:p w14:paraId="5240C74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阜阳经开区管委会</w:t>
            </w:r>
          </w:p>
        </w:tc>
        <w:tc>
          <w:tcPr>
            <w:tcW w:w="0" w:type="auto"/>
            <w:shd w:val="clear" w:color="auto" w:fill="auto"/>
            <w:vAlign w:val="center"/>
          </w:tcPr>
          <w:p w14:paraId="066246B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12BF3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0" w:type="auto"/>
            <w:shd w:val="clear" w:color="auto" w:fill="auto"/>
            <w:vAlign w:val="center"/>
          </w:tcPr>
          <w:p w14:paraId="710E23B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0" w:type="auto"/>
            <w:shd w:val="clear" w:color="auto" w:fill="auto"/>
            <w:vAlign w:val="center"/>
          </w:tcPr>
          <w:p w14:paraId="3E007AA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东方国际集团毛纺织产业园项目</w:t>
            </w:r>
          </w:p>
        </w:tc>
        <w:tc>
          <w:tcPr>
            <w:tcW w:w="0" w:type="auto"/>
            <w:shd w:val="clear" w:color="auto" w:fill="auto"/>
            <w:vAlign w:val="center"/>
          </w:tcPr>
          <w:p w14:paraId="72DA0B9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经开区</w:t>
            </w:r>
          </w:p>
        </w:tc>
        <w:tc>
          <w:tcPr>
            <w:tcW w:w="0" w:type="auto"/>
            <w:shd w:val="clear" w:color="auto" w:fill="auto"/>
            <w:vAlign w:val="center"/>
          </w:tcPr>
          <w:p w14:paraId="5BF52DD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7B813D6A">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占地约500亩，总建筑面积约60万平方米，项目达产后，可形成年产毛条10万吨、纱线50万锭、毛衫2000万件的生产能力，实现年产值100亿元。</w:t>
            </w:r>
          </w:p>
        </w:tc>
        <w:tc>
          <w:tcPr>
            <w:tcW w:w="876" w:type="dxa"/>
            <w:shd w:val="clear" w:color="auto" w:fill="auto"/>
            <w:vAlign w:val="center"/>
          </w:tcPr>
          <w:p w14:paraId="7B35016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w:t>
            </w:r>
          </w:p>
        </w:tc>
        <w:tc>
          <w:tcPr>
            <w:tcW w:w="1787" w:type="dxa"/>
            <w:shd w:val="clear" w:color="auto" w:fill="auto"/>
            <w:vAlign w:val="center"/>
          </w:tcPr>
          <w:p w14:paraId="2519F91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东方国际集团</w:t>
            </w:r>
          </w:p>
        </w:tc>
        <w:tc>
          <w:tcPr>
            <w:tcW w:w="0" w:type="auto"/>
            <w:shd w:val="clear" w:color="auto" w:fill="auto"/>
            <w:vAlign w:val="center"/>
          </w:tcPr>
          <w:p w14:paraId="4EE2D65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阜阳经开区管委会</w:t>
            </w:r>
          </w:p>
        </w:tc>
        <w:tc>
          <w:tcPr>
            <w:tcW w:w="0" w:type="auto"/>
            <w:shd w:val="clear" w:color="auto" w:fill="auto"/>
            <w:vAlign w:val="center"/>
          </w:tcPr>
          <w:p w14:paraId="1B31E2A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6EAA9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0" w:type="auto"/>
            <w:shd w:val="clear" w:color="auto" w:fill="auto"/>
            <w:vAlign w:val="center"/>
          </w:tcPr>
          <w:p w14:paraId="0929DC7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11</w:t>
            </w:r>
          </w:p>
        </w:tc>
        <w:tc>
          <w:tcPr>
            <w:tcW w:w="0" w:type="auto"/>
            <w:shd w:val="clear" w:color="auto" w:fill="auto"/>
            <w:vAlign w:val="center"/>
          </w:tcPr>
          <w:p w14:paraId="5E363EB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阜阳零碳科技产业园项目</w:t>
            </w:r>
          </w:p>
        </w:tc>
        <w:tc>
          <w:tcPr>
            <w:tcW w:w="0" w:type="auto"/>
            <w:shd w:val="clear" w:color="auto" w:fill="auto"/>
            <w:vAlign w:val="center"/>
          </w:tcPr>
          <w:p w14:paraId="198FAC3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经开区</w:t>
            </w:r>
          </w:p>
        </w:tc>
        <w:tc>
          <w:tcPr>
            <w:tcW w:w="0" w:type="auto"/>
            <w:shd w:val="clear" w:color="auto" w:fill="auto"/>
            <w:vAlign w:val="center"/>
          </w:tcPr>
          <w:p w14:paraId="6E0580F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102CF568">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与同济大学开展合作，围绕环保专用设备制造与研发，引进太阳能、风能、生物质能等装备及应用相关企业。构建以可再生能源为主的零碳能源系统，搭建配套的基础设施，重点发展光伏等环保装备产业</w:t>
            </w:r>
          </w:p>
        </w:tc>
        <w:tc>
          <w:tcPr>
            <w:tcW w:w="876" w:type="dxa"/>
            <w:shd w:val="clear" w:color="auto" w:fill="auto"/>
            <w:vAlign w:val="center"/>
          </w:tcPr>
          <w:p w14:paraId="230AF40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50</w:t>
            </w:r>
          </w:p>
        </w:tc>
        <w:tc>
          <w:tcPr>
            <w:tcW w:w="1787" w:type="dxa"/>
            <w:shd w:val="clear" w:color="auto" w:fill="auto"/>
            <w:vAlign w:val="center"/>
          </w:tcPr>
          <w:p w14:paraId="31E69A1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上海泓济环保科技股份有限公司</w:t>
            </w:r>
          </w:p>
        </w:tc>
        <w:tc>
          <w:tcPr>
            <w:tcW w:w="0" w:type="auto"/>
            <w:shd w:val="clear" w:color="auto" w:fill="auto"/>
            <w:vAlign w:val="center"/>
          </w:tcPr>
          <w:p w14:paraId="793738E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阜阳经开区管委会</w:t>
            </w:r>
          </w:p>
        </w:tc>
        <w:tc>
          <w:tcPr>
            <w:tcW w:w="0" w:type="auto"/>
            <w:shd w:val="clear" w:color="auto" w:fill="auto"/>
            <w:vAlign w:val="center"/>
          </w:tcPr>
          <w:p w14:paraId="0918B77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72423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0" w:type="auto"/>
            <w:shd w:val="clear" w:color="auto" w:fill="auto"/>
            <w:vAlign w:val="center"/>
          </w:tcPr>
          <w:p w14:paraId="6710325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w:t>
            </w:r>
          </w:p>
        </w:tc>
        <w:tc>
          <w:tcPr>
            <w:tcW w:w="0" w:type="auto"/>
            <w:shd w:val="clear" w:color="auto" w:fill="auto"/>
            <w:vAlign w:val="center"/>
          </w:tcPr>
          <w:p w14:paraId="592BFCB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经开区新型材料产业园项目</w:t>
            </w:r>
          </w:p>
        </w:tc>
        <w:tc>
          <w:tcPr>
            <w:tcW w:w="0" w:type="auto"/>
            <w:shd w:val="clear" w:color="auto" w:fill="auto"/>
            <w:vAlign w:val="center"/>
          </w:tcPr>
          <w:p w14:paraId="7BE60CC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经开区</w:t>
            </w:r>
          </w:p>
        </w:tc>
        <w:tc>
          <w:tcPr>
            <w:tcW w:w="0" w:type="auto"/>
            <w:shd w:val="clear" w:color="auto" w:fill="auto"/>
            <w:vAlign w:val="center"/>
          </w:tcPr>
          <w:p w14:paraId="408E386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22A1D678">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占地415亩，由阜阳经开区产业发展投资公司建设现代化厂房、集中仓库、交易中心、共享加工中心等38万平方米，配套建设道路、绿化、亮化、管网等附属工程。依托阜阳经开区现有的磁性材料产业基础，加强前沿新材料技术产业化承接，招引先进半导体材料、新型显示材料、高端光电子与微电子材料等，打造以磁性材料为主的新型材料产业园。</w:t>
            </w:r>
          </w:p>
        </w:tc>
        <w:tc>
          <w:tcPr>
            <w:tcW w:w="876" w:type="dxa"/>
            <w:shd w:val="clear" w:color="auto" w:fill="auto"/>
            <w:vAlign w:val="center"/>
          </w:tcPr>
          <w:p w14:paraId="40AA8CA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50</w:t>
            </w:r>
          </w:p>
        </w:tc>
        <w:tc>
          <w:tcPr>
            <w:tcW w:w="1787" w:type="dxa"/>
            <w:shd w:val="clear" w:color="auto" w:fill="auto"/>
            <w:vAlign w:val="center"/>
          </w:tcPr>
          <w:p w14:paraId="253CF98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阜阳经开区产业发展投资有限公司</w:t>
            </w:r>
          </w:p>
        </w:tc>
        <w:tc>
          <w:tcPr>
            <w:tcW w:w="0" w:type="auto"/>
            <w:shd w:val="clear" w:color="auto" w:fill="auto"/>
            <w:vAlign w:val="center"/>
          </w:tcPr>
          <w:p w14:paraId="08FFBEB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阜阳经开区管委会</w:t>
            </w:r>
          </w:p>
        </w:tc>
        <w:tc>
          <w:tcPr>
            <w:tcW w:w="0" w:type="auto"/>
            <w:shd w:val="clear" w:color="auto" w:fill="auto"/>
            <w:vAlign w:val="center"/>
          </w:tcPr>
          <w:p w14:paraId="69E3900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4A1B3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65" w:hRule="atLeast"/>
        </w:trPr>
        <w:tc>
          <w:tcPr>
            <w:tcW w:w="0" w:type="auto"/>
            <w:shd w:val="clear" w:color="auto" w:fill="auto"/>
            <w:vAlign w:val="center"/>
          </w:tcPr>
          <w:p w14:paraId="42CBF8C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13</w:t>
            </w:r>
          </w:p>
        </w:tc>
        <w:tc>
          <w:tcPr>
            <w:tcW w:w="0" w:type="auto"/>
            <w:shd w:val="clear" w:color="auto" w:fill="auto"/>
            <w:vAlign w:val="center"/>
          </w:tcPr>
          <w:p w14:paraId="77E2191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中国毛纺织承接产业转移示范基地项目</w:t>
            </w:r>
          </w:p>
        </w:tc>
        <w:tc>
          <w:tcPr>
            <w:tcW w:w="0" w:type="auto"/>
            <w:shd w:val="clear" w:color="auto" w:fill="auto"/>
            <w:vAlign w:val="center"/>
          </w:tcPr>
          <w:p w14:paraId="0A3738D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经开区</w:t>
            </w:r>
          </w:p>
        </w:tc>
        <w:tc>
          <w:tcPr>
            <w:tcW w:w="0" w:type="auto"/>
            <w:shd w:val="clear" w:color="auto" w:fill="auto"/>
            <w:vAlign w:val="center"/>
          </w:tcPr>
          <w:p w14:paraId="06A677E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776F6F2B">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总建筑面积为10万平方米，引入10-20家毛纺织行业上下游相关企业，预计创造年产值30亿元，创造就业岗位2000个</w:t>
            </w:r>
          </w:p>
        </w:tc>
        <w:tc>
          <w:tcPr>
            <w:tcW w:w="876" w:type="dxa"/>
            <w:shd w:val="clear" w:color="auto" w:fill="auto"/>
            <w:vAlign w:val="center"/>
          </w:tcPr>
          <w:p w14:paraId="0F950BE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40</w:t>
            </w:r>
          </w:p>
        </w:tc>
        <w:tc>
          <w:tcPr>
            <w:tcW w:w="1787" w:type="dxa"/>
            <w:shd w:val="clear" w:color="auto" w:fill="auto"/>
            <w:vAlign w:val="center"/>
          </w:tcPr>
          <w:p w14:paraId="071022F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阜阳经济开发区产业发展投资有限公司</w:t>
            </w:r>
          </w:p>
        </w:tc>
        <w:tc>
          <w:tcPr>
            <w:tcW w:w="0" w:type="auto"/>
            <w:shd w:val="clear" w:color="auto" w:fill="auto"/>
            <w:vAlign w:val="center"/>
          </w:tcPr>
          <w:p w14:paraId="269E3FE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阜阳经开区管委会</w:t>
            </w:r>
          </w:p>
        </w:tc>
        <w:tc>
          <w:tcPr>
            <w:tcW w:w="0" w:type="auto"/>
            <w:shd w:val="clear" w:color="auto" w:fill="auto"/>
            <w:vAlign w:val="center"/>
          </w:tcPr>
          <w:p w14:paraId="073313F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4B005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0" w:type="auto"/>
            <w:shd w:val="clear" w:color="auto" w:fill="auto"/>
            <w:vAlign w:val="center"/>
          </w:tcPr>
          <w:p w14:paraId="141ADA4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14</w:t>
            </w:r>
          </w:p>
        </w:tc>
        <w:tc>
          <w:tcPr>
            <w:tcW w:w="0" w:type="auto"/>
            <w:shd w:val="clear" w:color="auto" w:fill="auto"/>
            <w:vAlign w:val="center"/>
          </w:tcPr>
          <w:p w14:paraId="65A5C14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智能厢式房车生产项目</w:t>
            </w:r>
          </w:p>
        </w:tc>
        <w:tc>
          <w:tcPr>
            <w:tcW w:w="0" w:type="auto"/>
            <w:shd w:val="clear" w:color="auto" w:fill="auto"/>
            <w:vAlign w:val="center"/>
          </w:tcPr>
          <w:p w14:paraId="51AD1A2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经开区</w:t>
            </w:r>
          </w:p>
        </w:tc>
        <w:tc>
          <w:tcPr>
            <w:tcW w:w="0" w:type="auto"/>
            <w:shd w:val="clear" w:color="auto" w:fill="auto"/>
            <w:vAlign w:val="center"/>
          </w:tcPr>
          <w:p w14:paraId="5B8FA22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66CE487B">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总建筑面积200万平方米，建设年产8000台的新型智能厢式房车生产线项目</w:t>
            </w:r>
          </w:p>
        </w:tc>
        <w:tc>
          <w:tcPr>
            <w:tcW w:w="876" w:type="dxa"/>
            <w:shd w:val="clear" w:color="auto" w:fill="auto"/>
            <w:vAlign w:val="center"/>
          </w:tcPr>
          <w:p w14:paraId="2FA1D3E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25</w:t>
            </w:r>
          </w:p>
        </w:tc>
        <w:tc>
          <w:tcPr>
            <w:tcW w:w="1787" w:type="dxa"/>
            <w:shd w:val="clear" w:color="auto" w:fill="auto"/>
            <w:vAlign w:val="center"/>
          </w:tcPr>
          <w:p w14:paraId="4F2C7F9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中航开乐股份有限公司</w:t>
            </w:r>
          </w:p>
        </w:tc>
        <w:tc>
          <w:tcPr>
            <w:tcW w:w="0" w:type="auto"/>
            <w:shd w:val="clear" w:color="auto" w:fill="auto"/>
            <w:vAlign w:val="center"/>
          </w:tcPr>
          <w:p w14:paraId="5FC12D2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阜阳经开区管委会</w:t>
            </w:r>
          </w:p>
        </w:tc>
        <w:tc>
          <w:tcPr>
            <w:tcW w:w="0" w:type="auto"/>
            <w:shd w:val="clear" w:color="auto" w:fill="auto"/>
            <w:vAlign w:val="center"/>
          </w:tcPr>
          <w:p w14:paraId="34E3D32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0AD8B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95" w:hRule="atLeast"/>
        </w:trPr>
        <w:tc>
          <w:tcPr>
            <w:tcW w:w="0" w:type="auto"/>
            <w:shd w:val="clear" w:color="auto" w:fill="auto"/>
            <w:vAlign w:val="center"/>
          </w:tcPr>
          <w:p w14:paraId="34FA5A0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w:t>
            </w:r>
          </w:p>
        </w:tc>
        <w:tc>
          <w:tcPr>
            <w:tcW w:w="0" w:type="auto"/>
            <w:shd w:val="clear" w:color="auto" w:fill="auto"/>
            <w:vAlign w:val="center"/>
          </w:tcPr>
          <w:p w14:paraId="7A03175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锦辉制药退城进园升级改造项目</w:t>
            </w:r>
          </w:p>
        </w:tc>
        <w:tc>
          <w:tcPr>
            <w:tcW w:w="0" w:type="auto"/>
            <w:shd w:val="clear" w:color="auto" w:fill="auto"/>
            <w:vAlign w:val="center"/>
          </w:tcPr>
          <w:p w14:paraId="591D297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经开区</w:t>
            </w:r>
          </w:p>
        </w:tc>
        <w:tc>
          <w:tcPr>
            <w:tcW w:w="0" w:type="auto"/>
            <w:shd w:val="clear" w:color="auto" w:fill="auto"/>
            <w:vAlign w:val="center"/>
          </w:tcPr>
          <w:p w14:paraId="2ED0980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2E3974EA">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项目占地面积302亩。建设厂房、办公楼等，购置药剂生产设备，形成年产5亿袋/瓶各类注射及制剂产品的生产能力</w:t>
            </w:r>
          </w:p>
        </w:tc>
        <w:tc>
          <w:tcPr>
            <w:tcW w:w="876" w:type="dxa"/>
            <w:shd w:val="clear" w:color="auto" w:fill="auto"/>
            <w:vAlign w:val="center"/>
          </w:tcPr>
          <w:p w14:paraId="08AA158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w:t>
            </w:r>
          </w:p>
        </w:tc>
        <w:tc>
          <w:tcPr>
            <w:tcW w:w="1787" w:type="dxa"/>
            <w:shd w:val="clear" w:color="auto" w:fill="auto"/>
            <w:vAlign w:val="center"/>
          </w:tcPr>
          <w:p w14:paraId="4C3BE28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上海华源安徽锦辉制药有限公司</w:t>
            </w:r>
          </w:p>
        </w:tc>
        <w:tc>
          <w:tcPr>
            <w:tcW w:w="0" w:type="auto"/>
            <w:shd w:val="clear" w:color="auto" w:fill="auto"/>
            <w:vAlign w:val="center"/>
          </w:tcPr>
          <w:p w14:paraId="3690B1C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阜阳经开区管委会</w:t>
            </w:r>
          </w:p>
        </w:tc>
        <w:tc>
          <w:tcPr>
            <w:tcW w:w="0" w:type="auto"/>
            <w:shd w:val="clear" w:color="auto" w:fill="auto"/>
            <w:vAlign w:val="center"/>
          </w:tcPr>
          <w:p w14:paraId="52F3477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01A93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trPr>
        <w:tc>
          <w:tcPr>
            <w:tcW w:w="0" w:type="auto"/>
            <w:shd w:val="clear" w:color="auto" w:fill="auto"/>
            <w:vAlign w:val="center"/>
          </w:tcPr>
          <w:p w14:paraId="0309243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16</w:t>
            </w:r>
          </w:p>
        </w:tc>
        <w:tc>
          <w:tcPr>
            <w:tcW w:w="0" w:type="auto"/>
            <w:shd w:val="clear" w:color="auto" w:fill="auto"/>
            <w:vAlign w:val="center"/>
          </w:tcPr>
          <w:p w14:paraId="6142D06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专用车及配件生产基地项目</w:t>
            </w:r>
          </w:p>
        </w:tc>
        <w:tc>
          <w:tcPr>
            <w:tcW w:w="0" w:type="auto"/>
            <w:shd w:val="clear" w:color="auto" w:fill="auto"/>
            <w:vAlign w:val="center"/>
          </w:tcPr>
          <w:p w14:paraId="4AEAE15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经开区</w:t>
            </w:r>
          </w:p>
        </w:tc>
        <w:tc>
          <w:tcPr>
            <w:tcW w:w="0" w:type="auto"/>
            <w:shd w:val="clear" w:color="auto" w:fill="auto"/>
            <w:vAlign w:val="center"/>
          </w:tcPr>
          <w:p w14:paraId="3B328EE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7FF8405F">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占地380亩，新建40万㎡产业配套综合体项目，围绕中航开乐专用车有限公司，新上年产5万台高端厢式车项目，并吸引30-50家上下游企业入驻生产基地形成配套产业，形成年产值超100亿元的产业集群</w:t>
            </w:r>
          </w:p>
        </w:tc>
        <w:tc>
          <w:tcPr>
            <w:tcW w:w="876" w:type="dxa"/>
            <w:shd w:val="clear" w:color="auto" w:fill="auto"/>
            <w:vAlign w:val="center"/>
          </w:tcPr>
          <w:p w14:paraId="1DAC132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w:t>
            </w:r>
          </w:p>
        </w:tc>
        <w:tc>
          <w:tcPr>
            <w:tcW w:w="1787" w:type="dxa"/>
            <w:shd w:val="clear" w:color="auto" w:fill="auto"/>
            <w:vAlign w:val="center"/>
          </w:tcPr>
          <w:p w14:paraId="55D968D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阜阳经济开发区产业发展投资有限公司</w:t>
            </w:r>
          </w:p>
        </w:tc>
        <w:tc>
          <w:tcPr>
            <w:tcW w:w="0" w:type="auto"/>
            <w:shd w:val="clear" w:color="auto" w:fill="auto"/>
            <w:vAlign w:val="center"/>
          </w:tcPr>
          <w:p w14:paraId="4895CE8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阜阳经开区管委会</w:t>
            </w:r>
          </w:p>
        </w:tc>
        <w:tc>
          <w:tcPr>
            <w:tcW w:w="0" w:type="auto"/>
            <w:shd w:val="clear" w:color="auto" w:fill="auto"/>
            <w:vAlign w:val="center"/>
          </w:tcPr>
          <w:p w14:paraId="1D36C9B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6C21F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0" w:type="auto"/>
            <w:gridSpan w:val="9"/>
            <w:shd w:val="clear" w:color="auto" w:fill="auto"/>
            <w:vAlign w:val="center"/>
          </w:tcPr>
          <w:p w14:paraId="2BABA9B4">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阜合现代产业园区12个，总投资358.5亿元</w:t>
            </w:r>
          </w:p>
        </w:tc>
      </w:tr>
      <w:tr w14:paraId="34D45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0" w:type="auto"/>
            <w:shd w:val="clear" w:color="auto" w:fill="auto"/>
            <w:vAlign w:val="center"/>
          </w:tcPr>
          <w:p w14:paraId="2DE0D82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w:t>
            </w:r>
          </w:p>
        </w:tc>
        <w:tc>
          <w:tcPr>
            <w:tcW w:w="0" w:type="auto"/>
            <w:shd w:val="clear" w:color="auto" w:fill="auto"/>
            <w:vAlign w:val="center"/>
          </w:tcPr>
          <w:p w14:paraId="69A6908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装备制造产业园</w:t>
            </w:r>
          </w:p>
        </w:tc>
        <w:tc>
          <w:tcPr>
            <w:tcW w:w="0" w:type="auto"/>
            <w:shd w:val="clear" w:color="auto" w:fill="auto"/>
            <w:vAlign w:val="center"/>
          </w:tcPr>
          <w:p w14:paraId="6011993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阜合产业园</w:t>
            </w:r>
          </w:p>
        </w:tc>
        <w:tc>
          <w:tcPr>
            <w:tcW w:w="0" w:type="auto"/>
            <w:shd w:val="clear" w:color="auto" w:fill="auto"/>
            <w:vAlign w:val="center"/>
          </w:tcPr>
          <w:p w14:paraId="22B12E1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4B2C5883">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总建筑面积约15万平方米，建设厂房、研发楼、检测楼、倒班宿舍等配套设施</w:t>
            </w:r>
          </w:p>
        </w:tc>
        <w:tc>
          <w:tcPr>
            <w:tcW w:w="876" w:type="dxa"/>
            <w:shd w:val="clear" w:color="auto" w:fill="auto"/>
            <w:vAlign w:val="center"/>
          </w:tcPr>
          <w:p w14:paraId="337E802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53CFFB6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安徽省阜阳合肥现代产业园区投资有限公司</w:t>
            </w:r>
          </w:p>
        </w:tc>
        <w:tc>
          <w:tcPr>
            <w:tcW w:w="0" w:type="auto"/>
            <w:shd w:val="clear" w:color="auto" w:fill="auto"/>
            <w:vAlign w:val="center"/>
          </w:tcPr>
          <w:p w14:paraId="544D895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阜合现代产业园区管委会</w:t>
            </w:r>
          </w:p>
        </w:tc>
        <w:tc>
          <w:tcPr>
            <w:tcW w:w="0" w:type="auto"/>
            <w:shd w:val="clear" w:color="auto" w:fill="auto"/>
            <w:vAlign w:val="center"/>
          </w:tcPr>
          <w:p w14:paraId="0F6BAAC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2B35A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0" w:type="auto"/>
            <w:shd w:val="clear" w:color="auto" w:fill="auto"/>
            <w:vAlign w:val="center"/>
          </w:tcPr>
          <w:p w14:paraId="1D9E1CA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w:t>
            </w:r>
          </w:p>
        </w:tc>
        <w:tc>
          <w:tcPr>
            <w:tcW w:w="0" w:type="auto"/>
            <w:shd w:val="clear" w:color="auto" w:fill="auto"/>
            <w:vAlign w:val="center"/>
          </w:tcPr>
          <w:p w14:paraId="0A1D599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智能制造产业园项目</w:t>
            </w:r>
          </w:p>
        </w:tc>
        <w:tc>
          <w:tcPr>
            <w:tcW w:w="0" w:type="auto"/>
            <w:shd w:val="clear" w:color="auto" w:fill="auto"/>
            <w:vAlign w:val="center"/>
          </w:tcPr>
          <w:p w14:paraId="3746B01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阜合产业园</w:t>
            </w:r>
          </w:p>
        </w:tc>
        <w:tc>
          <w:tcPr>
            <w:tcW w:w="0" w:type="auto"/>
            <w:shd w:val="clear" w:color="auto" w:fill="auto"/>
            <w:vAlign w:val="center"/>
          </w:tcPr>
          <w:p w14:paraId="478BDF5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160F94BF">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总建筑面积约37万平方米，主要建设标准化厂房、研发办公楼、人才公寓及其他配套设施</w:t>
            </w:r>
          </w:p>
        </w:tc>
        <w:tc>
          <w:tcPr>
            <w:tcW w:w="876" w:type="dxa"/>
            <w:shd w:val="clear" w:color="auto" w:fill="auto"/>
            <w:vAlign w:val="center"/>
          </w:tcPr>
          <w:p w14:paraId="3568E15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4FECF46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安徽省阜阳合肥现代产业园区投资有限公司</w:t>
            </w:r>
          </w:p>
        </w:tc>
        <w:tc>
          <w:tcPr>
            <w:tcW w:w="0" w:type="auto"/>
            <w:shd w:val="clear" w:color="auto" w:fill="auto"/>
            <w:vAlign w:val="center"/>
          </w:tcPr>
          <w:p w14:paraId="4AD06D6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阜合现代产业园区管委会</w:t>
            </w:r>
          </w:p>
        </w:tc>
        <w:tc>
          <w:tcPr>
            <w:tcW w:w="0" w:type="auto"/>
            <w:shd w:val="clear" w:color="auto" w:fill="auto"/>
            <w:vAlign w:val="center"/>
          </w:tcPr>
          <w:p w14:paraId="114FA04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续建</w:t>
            </w:r>
          </w:p>
        </w:tc>
      </w:tr>
      <w:tr w14:paraId="60FAC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12CDF2A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w:t>
            </w:r>
          </w:p>
        </w:tc>
        <w:tc>
          <w:tcPr>
            <w:tcW w:w="0" w:type="auto"/>
            <w:shd w:val="clear" w:color="auto" w:fill="auto"/>
            <w:vAlign w:val="center"/>
          </w:tcPr>
          <w:p w14:paraId="4BBC32D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金风科技风电装备智能制造创新示范项目</w:t>
            </w:r>
          </w:p>
        </w:tc>
        <w:tc>
          <w:tcPr>
            <w:tcW w:w="0" w:type="auto"/>
            <w:shd w:val="clear" w:color="auto" w:fill="auto"/>
            <w:vAlign w:val="center"/>
          </w:tcPr>
          <w:p w14:paraId="6FED644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阜合产业园</w:t>
            </w:r>
          </w:p>
        </w:tc>
        <w:tc>
          <w:tcPr>
            <w:tcW w:w="0" w:type="auto"/>
            <w:shd w:val="clear" w:color="auto" w:fill="auto"/>
            <w:vAlign w:val="center"/>
          </w:tcPr>
          <w:p w14:paraId="4E535B0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139E9367">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规划用地约280亩，建设区域生产制造、区域研发和区域运营三大中心</w:t>
            </w:r>
          </w:p>
        </w:tc>
        <w:tc>
          <w:tcPr>
            <w:tcW w:w="876" w:type="dxa"/>
            <w:shd w:val="clear" w:color="auto" w:fill="auto"/>
            <w:vAlign w:val="center"/>
          </w:tcPr>
          <w:p w14:paraId="485216C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5F973AA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新疆金风科技股份有限公司</w:t>
            </w:r>
          </w:p>
        </w:tc>
        <w:tc>
          <w:tcPr>
            <w:tcW w:w="0" w:type="auto"/>
            <w:shd w:val="clear" w:color="auto" w:fill="auto"/>
            <w:vAlign w:val="center"/>
          </w:tcPr>
          <w:p w14:paraId="15411AA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阜合现代产业园区管委会</w:t>
            </w:r>
          </w:p>
        </w:tc>
        <w:tc>
          <w:tcPr>
            <w:tcW w:w="0" w:type="auto"/>
            <w:shd w:val="clear" w:color="auto" w:fill="auto"/>
            <w:vAlign w:val="center"/>
          </w:tcPr>
          <w:p w14:paraId="3BB5B09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36158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05" w:hRule="atLeast"/>
        </w:trPr>
        <w:tc>
          <w:tcPr>
            <w:tcW w:w="0" w:type="auto"/>
            <w:shd w:val="clear" w:color="auto" w:fill="auto"/>
            <w:vAlign w:val="center"/>
          </w:tcPr>
          <w:p w14:paraId="1A4408A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4</w:t>
            </w:r>
          </w:p>
        </w:tc>
        <w:tc>
          <w:tcPr>
            <w:tcW w:w="0" w:type="auto"/>
            <w:shd w:val="clear" w:color="auto" w:fill="auto"/>
            <w:vAlign w:val="center"/>
          </w:tcPr>
          <w:p w14:paraId="4D6751F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三峡·金风科技现代能源创新示范园</w:t>
            </w:r>
          </w:p>
        </w:tc>
        <w:tc>
          <w:tcPr>
            <w:tcW w:w="0" w:type="auto"/>
            <w:shd w:val="clear" w:color="auto" w:fill="auto"/>
            <w:vAlign w:val="center"/>
          </w:tcPr>
          <w:p w14:paraId="3FADD03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阜合产业园</w:t>
            </w:r>
          </w:p>
        </w:tc>
        <w:tc>
          <w:tcPr>
            <w:tcW w:w="0" w:type="auto"/>
            <w:shd w:val="clear" w:color="auto" w:fill="auto"/>
            <w:vAlign w:val="center"/>
          </w:tcPr>
          <w:p w14:paraId="6790905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7839FF1B">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总规划用地约2400亩，分为核心生产区和配套生产区，核心生产区规划用地面积约1500亩，配套生产区规划用地面积约900亩。按照统筹规划、分步实施的原则，逐步建设包含新能源产业园、新兴产业孵化、零碳智造先行和乡村振兴示范等项目</w:t>
            </w:r>
          </w:p>
        </w:tc>
        <w:tc>
          <w:tcPr>
            <w:tcW w:w="876" w:type="dxa"/>
            <w:shd w:val="clear" w:color="auto" w:fill="auto"/>
            <w:vAlign w:val="center"/>
          </w:tcPr>
          <w:p w14:paraId="7C68A08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100</w:t>
            </w:r>
          </w:p>
        </w:tc>
        <w:tc>
          <w:tcPr>
            <w:tcW w:w="1787" w:type="dxa"/>
            <w:shd w:val="clear" w:color="auto" w:fill="auto"/>
            <w:vAlign w:val="center"/>
          </w:tcPr>
          <w:p w14:paraId="16AFAD3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新疆金风科技股份公司、中国三峡新能源（集团）股份公司</w:t>
            </w:r>
          </w:p>
        </w:tc>
        <w:tc>
          <w:tcPr>
            <w:tcW w:w="0" w:type="auto"/>
            <w:shd w:val="clear" w:color="auto" w:fill="auto"/>
            <w:vAlign w:val="center"/>
          </w:tcPr>
          <w:p w14:paraId="0467D6C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阜合现代产业园区管委会</w:t>
            </w:r>
          </w:p>
        </w:tc>
        <w:tc>
          <w:tcPr>
            <w:tcW w:w="0" w:type="auto"/>
            <w:shd w:val="clear" w:color="auto" w:fill="auto"/>
            <w:vAlign w:val="center"/>
          </w:tcPr>
          <w:p w14:paraId="4332B32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79D90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0" w:type="auto"/>
            <w:shd w:val="clear" w:color="auto" w:fill="auto"/>
            <w:vAlign w:val="center"/>
          </w:tcPr>
          <w:p w14:paraId="20D86D7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w:t>
            </w:r>
          </w:p>
        </w:tc>
        <w:tc>
          <w:tcPr>
            <w:tcW w:w="0" w:type="auto"/>
            <w:shd w:val="clear" w:color="auto" w:fill="auto"/>
            <w:vAlign w:val="center"/>
          </w:tcPr>
          <w:p w14:paraId="5267BB8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江汽阜阳年产10万台重卡基地项目</w:t>
            </w:r>
          </w:p>
        </w:tc>
        <w:tc>
          <w:tcPr>
            <w:tcW w:w="0" w:type="auto"/>
            <w:shd w:val="clear" w:color="auto" w:fill="auto"/>
            <w:vAlign w:val="center"/>
          </w:tcPr>
          <w:p w14:paraId="71B05C7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阜合产业园</w:t>
            </w:r>
          </w:p>
        </w:tc>
        <w:tc>
          <w:tcPr>
            <w:tcW w:w="0" w:type="auto"/>
            <w:shd w:val="clear" w:color="auto" w:fill="auto"/>
            <w:vAlign w:val="center"/>
          </w:tcPr>
          <w:p w14:paraId="700C0BF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62AFD0E1">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项目占地1350亩，建设商用车研发中心、中重卡销售总部、整车生产厂</w:t>
            </w:r>
          </w:p>
        </w:tc>
        <w:tc>
          <w:tcPr>
            <w:tcW w:w="876" w:type="dxa"/>
            <w:shd w:val="clear" w:color="auto" w:fill="auto"/>
            <w:vAlign w:val="center"/>
          </w:tcPr>
          <w:p w14:paraId="7D3C925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40</w:t>
            </w:r>
          </w:p>
        </w:tc>
        <w:tc>
          <w:tcPr>
            <w:tcW w:w="1787" w:type="dxa"/>
            <w:shd w:val="clear" w:color="auto" w:fill="auto"/>
            <w:vAlign w:val="center"/>
          </w:tcPr>
          <w:p w14:paraId="47D91DF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安徽省阜阳合肥现代产业园区投资有限公司、江淮汽车集团</w:t>
            </w:r>
          </w:p>
        </w:tc>
        <w:tc>
          <w:tcPr>
            <w:tcW w:w="0" w:type="auto"/>
            <w:shd w:val="clear" w:color="auto" w:fill="auto"/>
            <w:vAlign w:val="center"/>
          </w:tcPr>
          <w:p w14:paraId="2008C5A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阜合现代产业园区管委会</w:t>
            </w:r>
          </w:p>
        </w:tc>
        <w:tc>
          <w:tcPr>
            <w:tcW w:w="0" w:type="auto"/>
            <w:shd w:val="clear" w:color="auto" w:fill="auto"/>
            <w:vAlign w:val="center"/>
          </w:tcPr>
          <w:p w14:paraId="5CE2F07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44B35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trPr>
        <w:tc>
          <w:tcPr>
            <w:tcW w:w="0" w:type="auto"/>
            <w:shd w:val="clear" w:color="auto" w:fill="auto"/>
            <w:vAlign w:val="center"/>
          </w:tcPr>
          <w:p w14:paraId="50100CA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6</w:t>
            </w:r>
          </w:p>
        </w:tc>
        <w:tc>
          <w:tcPr>
            <w:tcW w:w="0" w:type="auto"/>
            <w:shd w:val="clear" w:color="auto" w:fill="auto"/>
            <w:vAlign w:val="center"/>
          </w:tcPr>
          <w:p w14:paraId="5636C65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镁轮年产300万只高端镁铝合金汽车轮毂</w:t>
            </w:r>
          </w:p>
        </w:tc>
        <w:tc>
          <w:tcPr>
            <w:tcW w:w="0" w:type="auto"/>
            <w:shd w:val="clear" w:color="auto" w:fill="auto"/>
            <w:vAlign w:val="center"/>
          </w:tcPr>
          <w:p w14:paraId="656B315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合阜产业园</w:t>
            </w:r>
          </w:p>
        </w:tc>
        <w:tc>
          <w:tcPr>
            <w:tcW w:w="0" w:type="auto"/>
            <w:shd w:val="clear" w:color="auto" w:fill="auto"/>
            <w:vAlign w:val="center"/>
          </w:tcPr>
          <w:p w14:paraId="292DFD1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传统产业升级改造</w:t>
            </w:r>
          </w:p>
        </w:tc>
        <w:tc>
          <w:tcPr>
            <w:tcW w:w="0" w:type="auto"/>
            <w:shd w:val="clear" w:color="auto" w:fill="auto"/>
            <w:vAlign w:val="center"/>
          </w:tcPr>
          <w:p w14:paraId="6CE7ED93">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规划用地200亩，总建筑面积约16万平方米，主要建设建设轮毂生产线、汽车底盘配件生产线</w:t>
            </w:r>
          </w:p>
        </w:tc>
        <w:tc>
          <w:tcPr>
            <w:tcW w:w="876" w:type="dxa"/>
            <w:shd w:val="clear" w:color="auto" w:fill="auto"/>
            <w:vAlign w:val="center"/>
          </w:tcPr>
          <w:p w14:paraId="4656AD0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w:t>
            </w:r>
          </w:p>
        </w:tc>
        <w:tc>
          <w:tcPr>
            <w:tcW w:w="1787" w:type="dxa"/>
            <w:shd w:val="clear" w:color="auto" w:fill="auto"/>
            <w:vAlign w:val="center"/>
          </w:tcPr>
          <w:p w14:paraId="199D594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镁轮全球股份有限公司</w:t>
            </w:r>
          </w:p>
        </w:tc>
        <w:tc>
          <w:tcPr>
            <w:tcW w:w="0" w:type="auto"/>
            <w:shd w:val="clear" w:color="auto" w:fill="auto"/>
            <w:vAlign w:val="center"/>
          </w:tcPr>
          <w:p w14:paraId="6DC3D8D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阜合现代产业园区管委会</w:t>
            </w:r>
          </w:p>
        </w:tc>
        <w:tc>
          <w:tcPr>
            <w:tcW w:w="0" w:type="auto"/>
            <w:shd w:val="clear" w:color="auto" w:fill="auto"/>
            <w:vAlign w:val="center"/>
          </w:tcPr>
          <w:p w14:paraId="5E1AD4E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开工</w:t>
            </w:r>
          </w:p>
        </w:tc>
      </w:tr>
      <w:tr w14:paraId="03A20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47FA795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7</w:t>
            </w:r>
          </w:p>
        </w:tc>
        <w:tc>
          <w:tcPr>
            <w:tcW w:w="0" w:type="auto"/>
            <w:shd w:val="clear" w:color="auto" w:fill="auto"/>
            <w:vAlign w:val="center"/>
          </w:tcPr>
          <w:p w14:paraId="03CA821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征美科技智能触控显示模组生产线建设项目</w:t>
            </w:r>
          </w:p>
        </w:tc>
        <w:tc>
          <w:tcPr>
            <w:tcW w:w="0" w:type="auto"/>
            <w:shd w:val="clear" w:color="auto" w:fill="auto"/>
            <w:vAlign w:val="center"/>
          </w:tcPr>
          <w:p w14:paraId="2504F52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合阜产业园</w:t>
            </w:r>
          </w:p>
        </w:tc>
        <w:tc>
          <w:tcPr>
            <w:tcW w:w="0" w:type="auto"/>
            <w:shd w:val="clear" w:color="auto" w:fill="auto"/>
            <w:vAlign w:val="center"/>
          </w:tcPr>
          <w:p w14:paraId="69FBF25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15F518E9">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一期拟租赁约5万平方米厂房，建设智能产品组装SMT生产线，中小尺寸触控模组生产线，中小尺寸显示模组生产线，中小尺寸光学玻璃生产线，自动化注塑和模具生产线，智能化家居生产线；二期，拟规划用地约160亩</w:t>
            </w:r>
          </w:p>
        </w:tc>
        <w:tc>
          <w:tcPr>
            <w:tcW w:w="876" w:type="dxa"/>
            <w:shd w:val="clear" w:color="auto" w:fill="auto"/>
            <w:vAlign w:val="center"/>
          </w:tcPr>
          <w:p w14:paraId="7832C62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w:t>
            </w:r>
          </w:p>
        </w:tc>
        <w:tc>
          <w:tcPr>
            <w:tcW w:w="1787" w:type="dxa"/>
            <w:shd w:val="clear" w:color="auto" w:fill="auto"/>
            <w:vAlign w:val="center"/>
          </w:tcPr>
          <w:p w14:paraId="3524F89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深圳征美智能有限公司</w:t>
            </w:r>
          </w:p>
        </w:tc>
        <w:tc>
          <w:tcPr>
            <w:tcW w:w="0" w:type="auto"/>
            <w:shd w:val="clear" w:color="auto" w:fill="auto"/>
            <w:vAlign w:val="center"/>
          </w:tcPr>
          <w:p w14:paraId="5849C1F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阜合现代产业园区管委会</w:t>
            </w:r>
          </w:p>
        </w:tc>
        <w:tc>
          <w:tcPr>
            <w:tcW w:w="0" w:type="auto"/>
            <w:shd w:val="clear" w:color="auto" w:fill="auto"/>
            <w:vAlign w:val="center"/>
          </w:tcPr>
          <w:p w14:paraId="7F8C46B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25485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shd w:val="clear" w:color="auto" w:fill="auto"/>
            <w:vAlign w:val="center"/>
          </w:tcPr>
          <w:p w14:paraId="67735D0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8</w:t>
            </w:r>
          </w:p>
        </w:tc>
        <w:tc>
          <w:tcPr>
            <w:tcW w:w="0" w:type="auto"/>
            <w:shd w:val="clear" w:color="auto" w:fill="auto"/>
            <w:vAlign w:val="center"/>
          </w:tcPr>
          <w:p w14:paraId="7C4ED0B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稻兴集团（阜阳）智能制造基地项目</w:t>
            </w:r>
          </w:p>
        </w:tc>
        <w:tc>
          <w:tcPr>
            <w:tcW w:w="0" w:type="auto"/>
            <w:shd w:val="clear" w:color="auto" w:fill="auto"/>
            <w:vAlign w:val="center"/>
          </w:tcPr>
          <w:p w14:paraId="582D0C8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合阜产业园</w:t>
            </w:r>
          </w:p>
        </w:tc>
        <w:tc>
          <w:tcPr>
            <w:tcW w:w="0" w:type="auto"/>
            <w:shd w:val="clear" w:color="auto" w:fill="auto"/>
            <w:vAlign w:val="center"/>
          </w:tcPr>
          <w:p w14:paraId="245ECDF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3A0B4F8A">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规划用地300亩，总建筑面积不低于35万平方米，拟建设10条8K超高清电视生产生产线，主要从事8K超高清电视生产及销售等业务</w:t>
            </w:r>
          </w:p>
        </w:tc>
        <w:tc>
          <w:tcPr>
            <w:tcW w:w="876" w:type="dxa"/>
            <w:shd w:val="clear" w:color="auto" w:fill="auto"/>
            <w:vAlign w:val="center"/>
          </w:tcPr>
          <w:p w14:paraId="04B13B0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30</w:t>
            </w:r>
          </w:p>
        </w:tc>
        <w:tc>
          <w:tcPr>
            <w:tcW w:w="1787" w:type="dxa"/>
            <w:shd w:val="clear" w:color="auto" w:fill="auto"/>
            <w:vAlign w:val="center"/>
          </w:tcPr>
          <w:p w14:paraId="48BD8CE6">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稻兴集团股份有限公司</w:t>
            </w:r>
          </w:p>
        </w:tc>
        <w:tc>
          <w:tcPr>
            <w:tcW w:w="0" w:type="auto"/>
            <w:shd w:val="clear" w:color="auto" w:fill="auto"/>
            <w:vAlign w:val="center"/>
          </w:tcPr>
          <w:p w14:paraId="3E961A3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阜合现代产业园区管委会</w:t>
            </w:r>
          </w:p>
        </w:tc>
        <w:tc>
          <w:tcPr>
            <w:tcW w:w="0" w:type="auto"/>
            <w:shd w:val="clear" w:color="auto" w:fill="auto"/>
            <w:vAlign w:val="center"/>
          </w:tcPr>
          <w:p w14:paraId="514CAA8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2F952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12B8780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9</w:t>
            </w:r>
          </w:p>
        </w:tc>
        <w:tc>
          <w:tcPr>
            <w:tcW w:w="0" w:type="auto"/>
            <w:shd w:val="clear" w:color="auto" w:fill="auto"/>
            <w:vAlign w:val="center"/>
          </w:tcPr>
          <w:p w14:paraId="3E07DDBF">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江苏纳帝电子触显屏全产业链生产项目</w:t>
            </w:r>
          </w:p>
        </w:tc>
        <w:tc>
          <w:tcPr>
            <w:tcW w:w="0" w:type="auto"/>
            <w:shd w:val="clear" w:color="auto" w:fill="auto"/>
            <w:vAlign w:val="center"/>
          </w:tcPr>
          <w:p w14:paraId="1F4ABA8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合阜产业园</w:t>
            </w:r>
          </w:p>
        </w:tc>
        <w:tc>
          <w:tcPr>
            <w:tcW w:w="0" w:type="auto"/>
            <w:shd w:val="clear" w:color="auto" w:fill="auto"/>
            <w:vAlign w:val="center"/>
          </w:tcPr>
          <w:p w14:paraId="0CC5C47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5E75CC87">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占地面积约350亩，从事手机、笔记本电脑、平板电脑、车载触控屏、工控类触控屏及智能家居触控屏玻璃面板研发、生产及销售</w:t>
            </w:r>
          </w:p>
        </w:tc>
        <w:tc>
          <w:tcPr>
            <w:tcW w:w="876" w:type="dxa"/>
            <w:shd w:val="clear" w:color="auto" w:fill="auto"/>
            <w:vAlign w:val="center"/>
          </w:tcPr>
          <w:p w14:paraId="43F57A4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1787" w:type="dxa"/>
            <w:shd w:val="clear" w:color="auto" w:fill="auto"/>
            <w:vAlign w:val="center"/>
          </w:tcPr>
          <w:p w14:paraId="23B3022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江苏纳帝电子科技有限公司</w:t>
            </w:r>
          </w:p>
        </w:tc>
        <w:tc>
          <w:tcPr>
            <w:tcW w:w="0" w:type="auto"/>
            <w:shd w:val="clear" w:color="auto" w:fill="auto"/>
            <w:vAlign w:val="center"/>
          </w:tcPr>
          <w:p w14:paraId="7C81146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阜合现代产业园区管委会</w:t>
            </w:r>
          </w:p>
        </w:tc>
        <w:tc>
          <w:tcPr>
            <w:tcW w:w="0" w:type="auto"/>
            <w:shd w:val="clear" w:color="auto" w:fill="auto"/>
            <w:vAlign w:val="center"/>
          </w:tcPr>
          <w:p w14:paraId="15B1EC9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42863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1E56F21D">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0" w:type="auto"/>
            <w:shd w:val="clear" w:color="auto" w:fill="auto"/>
            <w:vAlign w:val="center"/>
          </w:tcPr>
          <w:p w14:paraId="7EA2BCEA">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领航国创阜阳新能源产业园一期项目</w:t>
            </w:r>
          </w:p>
        </w:tc>
        <w:tc>
          <w:tcPr>
            <w:tcW w:w="0" w:type="auto"/>
            <w:shd w:val="clear" w:color="auto" w:fill="auto"/>
            <w:vAlign w:val="center"/>
          </w:tcPr>
          <w:p w14:paraId="6173DE31">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阜合产业园</w:t>
            </w:r>
          </w:p>
        </w:tc>
        <w:tc>
          <w:tcPr>
            <w:tcW w:w="0" w:type="auto"/>
            <w:shd w:val="clear" w:color="auto" w:fill="auto"/>
            <w:vAlign w:val="center"/>
          </w:tcPr>
          <w:p w14:paraId="0D07ACC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7A12699D">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项占地约328亩，建设年产能5.75亿安时领航固态电池工厂</w:t>
            </w:r>
          </w:p>
        </w:tc>
        <w:tc>
          <w:tcPr>
            <w:tcW w:w="876" w:type="dxa"/>
            <w:shd w:val="clear" w:color="auto" w:fill="auto"/>
            <w:vAlign w:val="center"/>
          </w:tcPr>
          <w:p w14:paraId="52284A8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28.5</w:t>
            </w:r>
          </w:p>
        </w:tc>
        <w:tc>
          <w:tcPr>
            <w:tcW w:w="1787" w:type="dxa"/>
            <w:shd w:val="clear" w:color="auto" w:fill="auto"/>
            <w:vAlign w:val="center"/>
          </w:tcPr>
          <w:p w14:paraId="314339F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领航国创控股集团有限责任公司</w:t>
            </w:r>
          </w:p>
        </w:tc>
        <w:tc>
          <w:tcPr>
            <w:tcW w:w="0" w:type="auto"/>
            <w:shd w:val="clear" w:color="auto" w:fill="auto"/>
            <w:vAlign w:val="center"/>
          </w:tcPr>
          <w:p w14:paraId="5E1FA260">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阜合现代产业园区管委会</w:t>
            </w:r>
          </w:p>
        </w:tc>
        <w:tc>
          <w:tcPr>
            <w:tcW w:w="0" w:type="auto"/>
            <w:shd w:val="clear" w:color="auto" w:fill="auto"/>
            <w:vAlign w:val="center"/>
          </w:tcPr>
          <w:p w14:paraId="16A4CE9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3FAAA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55631D5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11</w:t>
            </w:r>
          </w:p>
        </w:tc>
        <w:tc>
          <w:tcPr>
            <w:tcW w:w="0" w:type="auto"/>
            <w:shd w:val="clear" w:color="auto" w:fill="auto"/>
            <w:vAlign w:val="center"/>
          </w:tcPr>
          <w:p w14:paraId="411E410B">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异质结太阳能电池生产项目</w:t>
            </w:r>
          </w:p>
        </w:tc>
        <w:tc>
          <w:tcPr>
            <w:tcW w:w="0" w:type="auto"/>
            <w:shd w:val="clear" w:color="auto" w:fill="auto"/>
            <w:vAlign w:val="center"/>
          </w:tcPr>
          <w:p w14:paraId="3BC3DCA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阜合产业园</w:t>
            </w:r>
          </w:p>
        </w:tc>
        <w:tc>
          <w:tcPr>
            <w:tcW w:w="0" w:type="auto"/>
            <w:shd w:val="clear" w:color="auto" w:fill="auto"/>
            <w:vAlign w:val="center"/>
          </w:tcPr>
          <w:p w14:paraId="7128D8C8">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132B58BC">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规划用地约300亩，建设异质结太阳能电池生产</w:t>
            </w:r>
          </w:p>
        </w:tc>
        <w:tc>
          <w:tcPr>
            <w:tcW w:w="876" w:type="dxa"/>
            <w:shd w:val="clear" w:color="auto" w:fill="auto"/>
            <w:vAlign w:val="center"/>
          </w:tcPr>
          <w:p w14:paraId="15DF43A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30</w:t>
            </w:r>
          </w:p>
        </w:tc>
        <w:tc>
          <w:tcPr>
            <w:tcW w:w="1787" w:type="dxa"/>
            <w:shd w:val="clear" w:color="auto" w:fill="auto"/>
            <w:vAlign w:val="center"/>
          </w:tcPr>
          <w:p w14:paraId="0C0A549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中电建集团西北院、国家电投集团广东电力、钧石集团</w:t>
            </w:r>
          </w:p>
        </w:tc>
        <w:tc>
          <w:tcPr>
            <w:tcW w:w="0" w:type="auto"/>
            <w:shd w:val="clear" w:color="auto" w:fill="auto"/>
            <w:vAlign w:val="center"/>
          </w:tcPr>
          <w:p w14:paraId="7E0912D4">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阜合现代产业园区管委会</w:t>
            </w:r>
          </w:p>
        </w:tc>
        <w:tc>
          <w:tcPr>
            <w:tcW w:w="0" w:type="auto"/>
            <w:shd w:val="clear" w:color="auto" w:fill="auto"/>
            <w:vAlign w:val="center"/>
          </w:tcPr>
          <w:p w14:paraId="64924D9C">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r w14:paraId="026A7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6A9FD5F3">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w:t>
            </w:r>
          </w:p>
        </w:tc>
        <w:tc>
          <w:tcPr>
            <w:tcW w:w="0" w:type="auto"/>
            <w:shd w:val="clear" w:color="auto" w:fill="auto"/>
            <w:vAlign w:val="center"/>
          </w:tcPr>
          <w:p w14:paraId="752BDA75">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新筑轨道交通项目</w:t>
            </w:r>
          </w:p>
        </w:tc>
        <w:tc>
          <w:tcPr>
            <w:tcW w:w="0" w:type="auto"/>
            <w:shd w:val="clear" w:color="auto" w:fill="auto"/>
            <w:vAlign w:val="center"/>
          </w:tcPr>
          <w:p w14:paraId="093A1302">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阜合产业园</w:t>
            </w:r>
          </w:p>
        </w:tc>
        <w:tc>
          <w:tcPr>
            <w:tcW w:w="0" w:type="auto"/>
            <w:shd w:val="clear" w:color="auto" w:fill="auto"/>
            <w:vAlign w:val="center"/>
          </w:tcPr>
          <w:p w14:paraId="36B512C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战略性新兴产业</w:t>
            </w:r>
          </w:p>
        </w:tc>
        <w:tc>
          <w:tcPr>
            <w:tcW w:w="0" w:type="auto"/>
            <w:shd w:val="clear" w:color="auto" w:fill="auto"/>
            <w:vAlign w:val="center"/>
          </w:tcPr>
          <w:p w14:paraId="560AB8FE">
            <w:pPr>
              <w:keepNext w:val="0"/>
              <w:keepLines w:val="0"/>
              <w:widowControl/>
              <w:suppressLineNumbers w:val="0"/>
              <w:jc w:val="both"/>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建设轨道交通超级工厂等，打造嵌入式中低速磁浮及用于有轨电车和地铁线路的嵌入式轨道生产基地</w:t>
            </w:r>
          </w:p>
        </w:tc>
        <w:tc>
          <w:tcPr>
            <w:tcW w:w="876" w:type="dxa"/>
            <w:shd w:val="clear" w:color="auto" w:fill="auto"/>
            <w:vAlign w:val="center"/>
          </w:tcPr>
          <w:p w14:paraId="236837A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50</w:t>
            </w:r>
          </w:p>
        </w:tc>
        <w:tc>
          <w:tcPr>
            <w:tcW w:w="1787" w:type="dxa"/>
            <w:shd w:val="clear" w:color="auto" w:fill="auto"/>
            <w:vAlign w:val="center"/>
          </w:tcPr>
          <w:p w14:paraId="0B64E29E">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成都市新筑路桥机械股份有限公司</w:t>
            </w:r>
          </w:p>
        </w:tc>
        <w:tc>
          <w:tcPr>
            <w:tcW w:w="0" w:type="auto"/>
            <w:shd w:val="clear" w:color="auto" w:fill="auto"/>
            <w:vAlign w:val="center"/>
          </w:tcPr>
          <w:p w14:paraId="61DFD129">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阜合现代产业园区管委会</w:t>
            </w:r>
          </w:p>
        </w:tc>
        <w:tc>
          <w:tcPr>
            <w:tcW w:w="0" w:type="auto"/>
            <w:shd w:val="clear" w:color="auto" w:fill="auto"/>
            <w:vAlign w:val="center"/>
          </w:tcPr>
          <w:p w14:paraId="7DCA0457">
            <w:pPr>
              <w:keepNext w:val="0"/>
              <w:keepLines w:val="0"/>
              <w:widowControl/>
              <w:suppressLineNumbers w:val="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储备</w:t>
            </w:r>
          </w:p>
        </w:tc>
      </w:tr>
    </w:tbl>
    <w:p w14:paraId="0193C689"/>
    <w:p w14:paraId="04BF34D7">
      <w:pPr>
        <w:rPr>
          <w:rFonts w:hint="eastAsia"/>
        </w:rPr>
      </w:pPr>
      <w:r>
        <w:rPr>
          <w:rFonts w:hint="eastAsia"/>
        </w:rPr>
        <w:br w:type="page"/>
      </w:r>
    </w:p>
    <w:p w14:paraId="053A1264">
      <w:pPr>
        <w:pStyle w:val="14"/>
        <w:sectPr>
          <w:footerReference r:id="rId7" w:type="default"/>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pPr>
    </w:p>
    <w:p w14:paraId="171564FF">
      <w:pPr>
        <w:keepNext w:val="0"/>
        <w:keepLines w:val="0"/>
        <w:pageBreakBefore w:val="0"/>
        <w:widowControl w:val="0"/>
        <w:kinsoku/>
        <w:wordWrap/>
        <w:overflowPunct/>
        <w:topLinePunct w:val="0"/>
        <w:autoSpaceDE w:val="0"/>
        <w:autoSpaceDN w:val="0"/>
        <w:bidi w:val="0"/>
        <w:adjustRightInd/>
        <w:snapToGrid/>
        <w:jc w:val="left"/>
        <w:textAlignment w:val="auto"/>
        <w:outlineLvl w:val="0"/>
        <w:rPr>
          <w:rFonts w:hint="eastAsia" w:ascii="黑体" w:hAnsi="黑体" w:eastAsia="黑体" w:cs="黑体"/>
          <w:kern w:val="2"/>
          <w:sz w:val="32"/>
          <w:szCs w:val="32"/>
          <w:lang w:val="en-US" w:eastAsia="zh-CN" w:bidi="ar-SA"/>
        </w:rPr>
      </w:pPr>
      <w:bookmarkStart w:id="474" w:name="_Toc23582"/>
      <w:bookmarkStart w:id="475" w:name="_Toc10823"/>
      <w:bookmarkStart w:id="476" w:name="_Toc511"/>
      <w:bookmarkStart w:id="477" w:name="_Toc4315"/>
      <w:bookmarkStart w:id="478" w:name="_Toc8975"/>
      <w:bookmarkStart w:id="479" w:name="_Toc30433"/>
      <w:bookmarkStart w:id="480" w:name="_Toc31130"/>
      <w:bookmarkStart w:id="481" w:name="_Toc16647"/>
      <w:bookmarkStart w:id="482" w:name="_Toc25314"/>
      <w:r>
        <w:rPr>
          <w:rFonts w:hint="eastAsia" w:ascii="黑体" w:hAnsi="黑体" w:eastAsia="黑体" w:cs="黑体"/>
          <w:kern w:val="2"/>
          <w:sz w:val="32"/>
          <w:szCs w:val="32"/>
          <w:lang w:val="en-US" w:eastAsia="zh-CN" w:bidi="ar-SA"/>
        </w:rPr>
        <w:t>附件三：</w:t>
      </w:r>
      <w:r>
        <w:rPr>
          <w:rFonts w:hint="eastAsia" w:ascii="黑体" w:hAnsi="黑体" w:eastAsia="黑体" w:cs="黑体"/>
          <w:kern w:val="2"/>
          <w:sz w:val="32"/>
          <w:szCs w:val="32"/>
          <w:lang w:val="en-US" w:eastAsia="en-US" w:bidi="ar-SA"/>
        </w:rPr>
        <w:t>阜阳市“十四五”工业发展规划</w:t>
      </w:r>
      <w:r>
        <w:rPr>
          <w:rFonts w:hint="eastAsia" w:ascii="黑体" w:hAnsi="黑体" w:eastAsia="黑体" w:cs="黑体"/>
          <w:kern w:val="2"/>
          <w:sz w:val="32"/>
          <w:szCs w:val="32"/>
          <w:lang w:val="en-US" w:eastAsia="zh-CN" w:bidi="ar-SA"/>
        </w:rPr>
        <w:t>环境影响分析说明</w:t>
      </w:r>
      <w:bookmarkEnd w:id="474"/>
      <w:bookmarkEnd w:id="475"/>
      <w:bookmarkEnd w:id="476"/>
      <w:bookmarkEnd w:id="477"/>
      <w:bookmarkEnd w:id="478"/>
      <w:bookmarkEnd w:id="479"/>
      <w:bookmarkEnd w:id="480"/>
      <w:bookmarkEnd w:id="481"/>
      <w:bookmarkEnd w:id="482"/>
    </w:p>
    <w:p w14:paraId="1BE8AE2E">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jc w:val="both"/>
        <w:textAlignment w:val="auto"/>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制定好《阜阳市“十四五”工业发展规划》（以下简称《规划》），是全面贯彻落实习近平总书记考察安徽重要讲话指示精神的必然要求，是把握新发展阶段、贯彻新发展理念、构建新发展格局、加快建设现代工业体系的必然要求，意义重大、影响深远。编制《阜阳市“十四五”工业发展规划环境影响分析说明》是贯彻落实《中华人民共和国环境影响评价法》的必然要求，有利于提高《规划》的科学性，从源头预防环境污染和生态破坏，促进经济、社会和环境的全面协调可持续发展。</w:t>
      </w:r>
    </w:p>
    <w:p w14:paraId="370C4C4B">
      <w:pPr>
        <w:keepNext w:val="0"/>
        <w:keepLines w:val="0"/>
        <w:pageBreakBefore w:val="0"/>
        <w:widowControl w:val="0"/>
        <w:numPr>
          <w:ilvl w:val="0"/>
          <w:numId w:val="0"/>
        </w:numPr>
        <w:kinsoku/>
        <w:wordWrap/>
        <w:overflowPunct/>
        <w:topLinePunct w:val="0"/>
        <w:autoSpaceDE w:val="0"/>
        <w:autoSpaceDN w:val="0"/>
        <w:bidi w:val="0"/>
        <w:adjustRightInd/>
        <w:snapToGrid/>
        <w:spacing w:after="0" w:line="600" w:lineRule="exact"/>
        <w:ind w:left="0" w:leftChars="0" w:firstLine="640" w:firstLineChars="200"/>
        <w:jc w:val="both"/>
        <w:textAlignment w:val="auto"/>
        <w:outlineLvl w:val="9"/>
        <w:rPr>
          <w:rFonts w:hint="default" w:ascii="Times New Roman" w:hAnsi="Times New Roman" w:eastAsia="黑体" w:cs="Times New Roman"/>
          <w:b w:val="0"/>
          <w:bCs/>
          <w:kern w:val="44"/>
          <w:sz w:val="32"/>
          <w:szCs w:val="44"/>
          <w:lang w:val="en-US" w:eastAsia="zh-CN" w:bidi="ar-SA"/>
        </w:rPr>
      </w:pPr>
      <w:r>
        <w:rPr>
          <w:rFonts w:hint="eastAsia" w:ascii="Times New Roman" w:hAnsi="Times New Roman" w:eastAsia="黑体" w:cs="Times New Roman"/>
          <w:b w:val="0"/>
          <w:bCs/>
          <w:kern w:val="44"/>
          <w:sz w:val="32"/>
          <w:szCs w:val="44"/>
          <w:lang w:val="en-US" w:eastAsia="zh-CN" w:bidi="ar-SA"/>
        </w:rPr>
        <w:t>一、阜阳市环境概况</w:t>
      </w:r>
    </w:p>
    <w:p w14:paraId="07712372">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jc w:val="both"/>
        <w:textAlignment w:val="auto"/>
        <w:outlineLvl w:val="9"/>
        <w:rPr>
          <w:rFonts w:hint="default"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阜阳市位于安徽省西北部，华北平原南端，辖颍州、颍泉、颍东3个市辖区，临泉、太和、阜南、颍上4个县，界首1个县级市和阜阳经济开发区、阜阳合肥现代产业园2个功能区，规划面积10118平方公里，常住人口8200264人。2019年年均气温16.3摄氏度，年降水量632毫米。</w:t>
      </w:r>
    </w:p>
    <w:p w14:paraId="2220EC53">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jc w:val="both"/>
        <w:textAlignment w:val="auto"/>
        <w:outlineLvl w:val="9"/>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2020年阜阳城区空气质量达到国家Ⅱ级标准263天，空气质量优良率71.9%。</w:t>
      </w:r>
    </w:p>
    <w:p w14:paraId="3DE16F48">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jc w:val="both"/>
        <w:textAlignment w:val="auto"/>
        <w:outlineLvl w:val="9"/>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2019年全市森林面积204290公顷，森林覆盖率19.8%；</w:t>
      </w:r>
      <w:r>
        <w:rPr>
          <w:rFonts w:hint="eastAsia" w:ascii="仿宋_GB2312" w:hAnsi="仿宋_GB2312" w:eastAsia="仿宋_GB2312" w:cs="仿宋_GB2312"/>
          <w:bCs/>
          <w:kern w:val="0"/>
          <w:sz w:val="32"/>
          <w:szCs w:val="32"/>
          <w:lang w:eastAsia="en-US"/>
        </w:rPr>
        <w:t>全市自然保护区2个，2020年面积2.6万公顷。</w:t>
      </w:r>
      <w:r>
        <w:rPr>
          <w:rFonts w:hint="eastAsia" w:ascii="仿宋_GB2312" w:hAnsi="仿宋_GB2312" w:eastAsia="仿宋_GB2312" w:cs="仿宋_GB2312"/>
          <w:bCs/>
          <w:kern w:val="0"/>
          <w:sz w:val="32"/>
          <w:szCs w:val="32"/>
          <w:lang w:val="en-US" w:eastAsia="zh-CN"/>
        </w:rPr>
        <w:t>2020</w:t>
      </w:r>
      <w:r>
        <w:rPr>
          <w:rFonts w:hint="eastAsia" w:ascii="仿宋_GB2312" w:hAnsi="仿宋_GB2312" w:eastAsia="仿宋_GB2312" w:cs="仿宋_GB2312"/>
          <w:bCs/>
          <w:kern w:val="0"/>
          <w:sz w:val="32"/>
          <w:szCs w:val="32"/>
          <w:lang w:eastAsia="en-US"/>
        </w:rPr>
        <w:t>年造林面积5132公顷</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lang w:eastAsia="en-US"/>
        </w:rPr>
        <w:t>其中,用材林841公顷，经济林2871公顷，防护林1420公顷。</w:t>
      </w:r>
    </w:p>
    <w:p w14:paraId="7CF1C02C">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jc w:val="both"/>
        <w:textAlignment w:val="auto"/>
        <w:outlineLvl w:val="9"/>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2019年末累计探明资源储量48.8亿吨，集中分布在颍上县北部和颍东区东部，大部分为大型矿床。已探明铁矿5处，探明资源储量2490.3万吨。</w:t>
      </w:r>
    </w:p>
    <w:p w14:paraId="7AF0BF9F">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jc w:val="both"/>
        <w:textAlignment w:val="auto"/>
        <w:outlineLvl w:val="9"/>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境内河流均属淮河水系。从西往东依次有谷河、润河、泉河、颍河、西淝河、茨河、澥河、包河等主要自然河道，2019年水资源总量17.1亿立方米，其中地表水7.63亿立方米，地下水12.09亿立方米。</w:t>
      </w:r>
    </w:p>
    <w:p w14:paraId="67A84024">
      <w:pPr>
        <w:keepNext w:val="0"/>
        <w:keepLines w:val="0"/>
        <w:pageBreakBefore w:val="0"/>
        <w:widowControl w:val="0"/>
        <w:numPr>
          <w:ilvl w:val="0"/>
          <w:numId w:val="0"/>
        </w:numPr>
        <w:kinsoku/>
        <w:wordWrap/>
        <w:overflowPunct/>
        <w:topLinePunct w:val="0"/>
        <w:autoSpaceDE w:val="0"/>
        <w:autoSpaceDN w:val="0"/>
        <w:bidi w:val="0"/>
        <w:adjustRightInd/>
        <w:snapToGrid/>
        <w:spacing w:after="0" w:line="600" w:lineRule="exact"/>
        <w:ind w:left="0" w:leftChars="0" w:firstLine="640" w:firstLineChars="200"/>
        <w:jc w:val="both"/>
        <w:textAlignment w:val="auto"/>
        <w:outlineLvl w:val="9"/>
        <w:rPr>
          <w:rFonts w:hint="default" w:ascii="Times New Roman" w:hAnsi="Times New Roman" w:eastAsia="黑体" w:cs="Times New Roman"/>
          <w:b w:val="0"/>
          <w:bCs/>
          <w:kern w:val="44"/>
          <w:sz w:val="32"/>
          <w:szCs w:val="44"/>
          <w:lang w:val="en-US" w:eastAsia="zh-CN" w:bidi="ar-SA"/>
        </w:rPr>
      </w:pPr>
      <w:r>
        <w:rPr>
          <w:rFonts w:hint="eastAsia" w:ascii="Times New Roman" w:hAnsi="Times New Roman" w:eastAsia="黑体" w:cs="Times New Roman"/>
          <w:b w:val="0"/>
          <w:bCs/>
          <w:kern w:val="44"/>
          <w:sz w:val="32"/>
          <w:szCs w:val="44"/>
          <w:lang w:val="en-US" w:eastAsia="zh-CN" w:bidi="ar-SA"/>
        </w:rPr>
        <w:t>二、环境影响预测及评价</w:t>
      </w:r>
    </w:p>
    <w:p w14:paraId="642A9D45">
      <w:pPr>
        <w:keepNext w:val="0"/>
        <w:keepLines w:val="0"/>
        <w:pageBreakBefore w:val="0"/>
        <w:widowControl w:val="0"/>
        <w:numPr>
          <w:ilvl w:val="0"/>
          <w:numId w:val="0"/>
        </w:numPr>
        <w:kinsoku/>
        <w:wordWrap/>
        <w:overflowPunct/>
        <w:topLinePunct w:val="0"/>
        <w:autoSpaceDE w:val="0"/>
        <w:autoSpaceDN w:val="0"/>
        <w:bidi w:val="0"/>
        <w:adjustRightInd/>
        <w:snapToGrid/>
        <w:spacing w:after="0" w:line="600" w:lineRule="exact"/>
        <w:ind w:left="0" w:leftChars="0" w:firstLine="643" w:firstLineChars="200"/>
        <w:jc w:val="both"/>
        <w:textAlignment w:val="auto"/>
        <w:outlineLvl w:val="9"/>
        <w:rPr>
          <w:rFonts w:hint="eastAsia" w:ascii="楷体_GB2312" w:hAnsi="楷体" w:eastAsia="楷体_GB2312" w:cs="Times New Roman"/>
          <w:b/>
          <w:sz w:val="32"/>
          <w:szCs w:val="32"/>
          <w:lang w:val="en-US" w:eastAsia="zh-CN" w:bidi="ar-SA"/>
        </w:rPr>
      </w:pPr>
      <w:r>
        <w:rPr>
          <w:rFonts w:hint="eastAsia" w:ascii="楷体_GB2312" w:hAnsi="楷体" w:eastAsia="楷体_GB2312" w:cs="Times New Roman"/>
          <w:b/>
          <w:sz w:val="32"/>
          <w:szCs w:val="32"/>
          <w:lang w:val="en-US" w:eastAsia="zh-CN" w:bidi="ar-SA"/>
        </w:rPr>
        <w:t>（一）地表水和地下水环境影响评价</w:t>
      </w:r>
    </w:p>
    <w:p w14:paraId="1C9B5E91">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jc w:val="both"/>
        <w:textAlignment w:val="auto"/>
        <w:outlineLvl w:val="9"/>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根据《规划》提出的目标、产业发展方向和主要举措，规划范围内涉及到的主要污染指标包括COD、BOD、氨氮、总磷以及重金属和一些有机化合物。</w:t>
      </w:r>
    </w:p>
    <w:p w14:paraId="1E6AA715">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jc w:val="both"/>
        <w:textAlignment w:val="auto"/>
        <w:outlineLvl w:val="9"/>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根据《阜阳市水污染防治工作方案》，到2020年全市新增污水处理厂6座，城市和县城建成区生活污水集中处理率达到95%以上；同时，处理污水的同时还要建设污泥处理处置工程，加快启动污泥焚烧处置项目建设，防止污泥二次污染。预计废水处理设施正常运行达标排放状况下，《规划》提出的工程和项目对纳污水域的影响均较小。同时新能源和节能环保等产业的发展将推动区域内水体环境的改善，对纳污水域和地下水产生积极正面的影响。</w:t>
      </w:r>
    </w:p>
    <w:p w14:paraId="67F9248D">
      <w:pPr>
        <w:keepNext w:val="0"/>
        <w:keepLines w:val="0"/>
        <w:pageBreakBefore w:val="0"/>
        <w:widowControl w:val="0"/>
        <w:numPr>
          <w:ilvl w:val="0"/>
          <w:numId w:val="0"/>
        </w:numPr>
        <w:kinsoku/>
        <w:wordWrap/>
        <w:overflowPunct/>
        <w:topLinePunct w:val="0"/>
        <w:autoSpaceDE w:val="0"/>
        <w:autoSpaceDN w:val="0"/>
        <w:bidi w:val="0"/>
        <w:adjustRightInd/>
        <w:snapToGrid/>
        <w:spacing w:after="0" w:line="600" w:lineRule="exact"/>
        <w:ind w:left="0" w:leftChars="0" w:firstLine="643" w:firstLineChars="200"/>
        <w:jc w:val="both"/>
        <w:textAlignment w:val="auto"/>
        <w:outlineLvl w:val="9"/>
        <w:rPr>
          <w:rFonts w:hint="eastAsia" w:ascii="楷体_GB2312" w:hAnsi="楷体" w:eastAsia="楷体_GB2312" w:cs="Times New Roman"/>
          <w:b/>
          <w:sz w:val="32"/>
          <w:szCs w:val="32"/>
          <w:lang w:val="en-US" w:eastAsia="zh-CN" w:bidi="ar-SA"/>
        </w:rPr>
      </w:pPr>
      <w:r>
        <w:rPr>
          <w:rFonts w:hint="eastAsia" w:ascii="楷体_GB2312" w:hAnsi="楷体" w:eastAsia="楷体_GB2312" w:cs="Times New Roman"/>
          <w:b/>
          <w:sz w:val="32"/>
          <w:szCs w:val="32"/>
          <w:lang w:val="en-US" w:eastAsia="zh-CN" w:bidi="ar-SA"/>
        </w:rPr>
        <w:t>（二）声环境影响评价</w:t>
      </w:r>
    </w:p>
    <w:p w14:paraId="32F01A81">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jc w:val="both"/>
        <w:textAlignment w:val="auto"/>
        <w:outlineLvl w:val="9"/>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根据《规划》提出的目标、产业发展方向和主要举措，规划范围内主要的噪声源包括项目施工过程产生的噪声、交通运输产生的噪声以及社会活动产生的噪声等。</w:t>
      </w:r>
    </w:p>
    <w:p w14:paraId="480938EC">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jc w:val="both"/>
        <w:textAlignment w:val="auto"/>
        <w:outlineLvl w:val="9"/>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施工期噪声对环境的影响，一方面取决于声源大小和施工强度，另一方面还与周围敏感点分布及其与声源间距离有关。不同作业性质和作业阶段，施工强度和所使用的施工机械不同，对声环境影响也有所差别。</w:t>
      </w:r>
    </w:p>
    <w:p w14:paraId="58971C9D">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jc w:val="both"/>
        <w:textAlignment w:val="auto"/>
        <w:outlineLvl w:val="9"/>
        <w:rPr>
          <w:rFonts w:hint="default"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通过合理安排施工场地，尽量远离居民区等敏感点；科学合理的布局施工现场；合理安排作业时间；合理规划施工便道和载重车辆走行时间，尽量不穿村或远离村庄等举措，可将施工场界噪声控制在允许的范围之内，将《规划》实施对居民生活环境的影响降到最小。</w:t>
      </w:r>
    </w:p>
    <w:p w14:paraId="6800B419">
      <w:pPr>
        <w:keepNext w:val="0"/>
        <w:keepLines w:val="0"/>
        <w:pageBreakBefore w:val="0"/>
        <w:widowControl w:val="0"/>
        <w:numPr>
          <w:ilvl w:val="0"/>
          <w:numId w:val="0"/>
        </w:numPr>
        <w:kinsoku/>
        <w:wordWrap/>
        <w:overflowPunct/>
        <w:topLinePunct w:val="0"/>
        <w:autoSpaceDE w:val="0"/>
        <w:autoSpaceDN w:val="0"/>
        <w:bidi w:val="0"/>
        <w:adjustRightInd/>
        <w:snapToGrid/>
        <w:spacing w:after="0" w:line="600" w:lineRule="exact"/>
        <w:ind w:left="0" w:leftChars="0" w:firstLine="643" w:firstLineChars="200"/>
        <w:jc w:val="both"/>
        <w:textAlignment w:val="auto"/>
        <w:outlineLvl w:val="9"/>
        <w:rPr>
          <w:rFonts w:hint="eastAsia" w:ascii="楷体_GB2312" w:hAnsi="楷体" w:eastAsia="楷体_GB2312" w:cs="Times New Roman"/>
          <w:b/>
          <w:sz w:val="32"/>
          <w:szCs w:val="32"/>
          <w:lang w:val="en-US" w:eastAsia="zh-CN" w:bidi="ar-SA"/>
        </w:rPr>
      </w:pPr>
      <w:r>
        <w:rPr>
          <w:rFonts w:hint="eastAsia" w:ascii="楷体_GB2312" w:hAnsi="楷体" w:eastAsia="楷体_GB2312" w:cs="Times New Roman"/>
          <w:b/>
          <w:sz w:val="32"/>
          <w:szCs w:val="32"/>
          <w:lang w:val="en-US" w:eastAsia="zh-CN" w:bidi="ar-SA"/>
        </w:rPr>
        <w:t>（三）大气环境影响评价</w:t>
      </w:r>
    </w:p>
    <w:p w14:paraId="5B374FA9">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jc w:val="both"/>
        <w:textAlignment w:val="auto"/>
        <w:outlineLvl w:val="9"/>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根据《规划》提出的目标、产业发展方向和主要举措，规划范围内涉及到的主要污染指标包括SO</w:t>
      </w:r>
      <w:r>
        <w:rPr>
          <w:rFonts w:hint="eastAsia" w:ascii="仿宋_GB2312" w:hAnsi="仿宋_GB2312" w:eastAsia="仿宋_GB2312" w:cs="仿宋_GB2312"/>
          <w:bCs/>
          <w:kern w:val="0"/>
          <w:sz w:val="32"/>
          <w:szCs w:val="32"/>
          <w:vertAlign w:val="subscript"/>
          <w:lang w:val="en-US" w:eastAsia="zh-CN"/>
        </w:rPr>
        <w:t>2</w:t>
      </w:r>
      <w:r>
        <w:rPr>
          <w:rFonts w:hint="eastAsia" w:ascii="仿宋_GB2312" w:hAnsi="仿宋_GB2312" w:eastAsia="仿宋_GB2312" w:cs="仿宋_GB2312"/>
          <w:bCs/>
          <w:kern w:val="0"/>
          <w:sz w:val="32"/>
          <w:szCs w:val="32"/>
          <w:lang w:val="en-US" w:eastAsia="zh-CN"/>
        </w:rPr>
        <w:t>、施工扬尘、氮氧化物和生产过程中产生的挥发性有机物等其他污染物。</w:t>
      </w:r>
    </w:p>
    <w:p w14:paraId="28E53DC4">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jc w:val="both"/>
        <w:textAlignment w:val="auto"/>
        <w:outlineLvl w:val="9"/>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根据《阜阳市打赢蓝天保卫战三年行动计划实施方案》等文件，阜阳将持续开展“散乱污”企业整治，加快推进工业炉窑综合治理，深入实施挥发性有机物治理攻坚行动，联合开展柴油货车和非道路移动机械排气污染治理，持续强化施工工地扬尘治理和道路保洁。预计废气处理设施正常运行达标排放状况下，《规划》提出的工程和项目对大气环境的影响均较小。同时风能、光伏、氢能源等产业的发展将推动区域内大气环境的改善。</w:t>
      </w:r>
    </w:p>
    <w:p w14:paraId="278EC889">
      <w:pPr>
        <w:keepNext w:val="0"/>
        <w:keepLines w:val="0"/>
        <w:pageBreakBefore w:val="0"/>
        <w:widowControl w:val="0"/>
        <w:numPr>
          <w:ilvl w:val="0"/>
          <w:numId w:val="0"/>
        </w:numPr>
        <w:kinsoku/>
        <w:wordWrap/>
        <w:overflowPunct/>
        <w:topLinePunct w:val="0"/>
        <w:autoSpaceDE w:val="0"/>
        <w:autoSpaceDN w:val="0"/>
        <w:bidi w:val="0"/>
        <w:adjustRightInd/>
        <w:snapToGrid/>
        <w:spacing w:after="0" w:line="600" w:lineRule="exact"/>
        <w:ind w:left="0" w:leftChars="0" w:firstLine="640" w:firstLineChars="200"/>
        <w:jc w:val="both"/>
        <w:textAlignment w:val="auto"/>
        <w:outlineLvl w:val="9"/>
        <w:rPr>
          <w:rFonts w:hint="eastAsia" w:ascii="Times New Roman" w:hAnsi="Times New Roman" w:eastAsia="黑体" w:cs="Times New Roman"/>
          <w:b w:val="0"/>
          <w:bCs/>
          <w:kern w:val="44"/>
          <w:sz w:val="32"/>
          <w:szCs w:val="44"/>
          <w:lang w:val="en-US" w:eastAsia="zh-CN" w:bidi="ar-SA"/>
        </w:rPr>
      </w:pPr>
    </w:p>
    <w:p w14:paraId="62146466">
      <w:pPr>
        <w:keepNext w:val="0"/>
        <w:keepLines w:val="0"/>
        <w:pageBreakBefore w:val="0"/>
        <w:widowControl w:val="0"/>
        <w:numPr>
          <w:ilvl w:val="0"/>
          <w:numId w:val="0"/>
        </w:numPr>
        <w:kinsoku/>
        <w:wordWrap/>
        <w:overflowPunct/>
        <w:topLinePunct w:val="0"/>
        <w:autoSpaceDE w:val="0"/>
        <w:autoSpaceDN w:val="0"/>
        <w:bidi w:val="0"/>
        <w:adjustRightInd/>
        <w:snapToGrid/>
        <w:spacing w:after="0" w:line="600" w:lineRule="exact"/>
        <w:ind w:left="0" w:leftChars="0" w:firstLine="640" w:firstLineChars="200"/>
        <w:jc w:val="both"/>
        <w:textAlignment w:val="auto"/>
        <w:outlineLvl w:val="9"/>
        <w:rPr>
          <w:rFonts w:hint="eastAsia" w:ascii="Times New Roman" w:hAnsi="Times New Roman" w:eastAsia="黑体" w:cs="Times New Roman"/>
          <w:b w:val="0"/>
          <w:bCs/>
          <w:kern w:val="44"/>
          <w:sz w:val="32"/>
          <w:szCs w:val="44"/>
          <w:lang w:val="en-US" w:eastAsia="zh-CN" w:bidi="ar-SA"/>
        </w:rPr>
      </w:pPr>
    </w:p>
    <w:p w14:paraId="799E9C00">
      <w:pPr>
        <w:keepNext w:val="0"/>
        <w:keepLines w:val="0"/>
        <w:pageBreakBefore w:val="0"/>
        <w:widowControl w:val="0"/>
        <w:numPr>
          <w:ilvl w:val="0"/>
          <w:numId w:val="0"/>
        </w:numPr>
        <w:kinsoku/>
        <w:wordWrap/>
        <w:overflowPunct/>
        <w:topLinePunct w:val="0"/>
        <w:autoSpaceDE w:val="0"/>
        <w:autoSpaceDN w:val="0"/>
        <w:bidi w:val="0"/>
        <w:adjustRightInd/>
        <w:snapToGrid/>
        <w:spacing w:after="0" w:line="600" w:lineRule="exact"/>
        <w:ind w:left="0" w:leftChars="0" w:firstLine="640" w:firstLineChars="200"/>
        <w:jc w:val="both"/>
        <w:textAlignment w:val="auto"/>
        <w:outlineLvl w:val="9"/>
        <w:rPr>
          <w:rFonts w:hint="default" w:ascii="Times New Roman" w:hAnsi="Times New Roman" w:eastAsia="黑体" w:cs="Times New Roman"/>
          <w:b w:val="0"/>
          <w:bCs/>
          <w:kern w:val="44"/>
          <w:sz w:val="32"/>
          <w:szCs w:val="44"/>
          <w:lang w:val="en-US" w:eastAsia="zh-CN" w:bidi="ar-SA"/>
        </w:rPr>
      </w:pPr>
      <w:r>
        <w:rPr>
          <w:rFonts w:hint="eastAsia" w:ascii="Times New Roman" w:hAnsi="Times New Roman" w:eastAsia="黑体" w:cs="Times New Roman"/>
          <w:b w:val="0"/>
          <w:bCs/>
          <w:kern w:val="44"/>
          <w:sz w:val="32"/>
          <w:szCs w:val="44"/>
          <w:lang w:val="en-US" w:eastAsia="zh-CN" w:bidi="ar-SA"/>
        </w:rPr>
        <w:t>三、预防和减轻不良环境影响的对策</w:t>
      </w:r>
    </w:p>
    <w:p w14:paraId="6D50D2CA">
      <w:pPr>
        <w:keepNext w:val="0"/>
        <w:keepLines w:val="0"/>
        <w:pageBreakBefore w:val="0"/>
        <w:widowControl w:val="0"/>
        <w:numPr>
          <w:ilvl w:val="0"/>
          <w:numId w:val="0"/>
        </w:numPr>
        <w:kinsoku/>
        <w:wordWrap/>
        <w:overflowPunct/>
        <w:topLinePunct w:val="0"/>
        <w:autoSpaceDE w:val="0"/>
        <w:autoSpaceDN w:val="0"/>
        <w:bidi w:val="0"/>
        <w:adjustRightInd/>
        <w:snapToGrid/>
        <w:spacing w:after="0" w:line="600" w:lineRule="exact"/>
        <w:ind w:left="0" w:leftChars="0" w:firstLine="643" w:firstLineChars="200"/>
        <w:jc w:val="both"/>
        <w:textAlignment w:val="auto"/>
        <w:outlineLvl w:val="9"/>
        <w:rPr>
          <w:rFonts w:hint="eastAsia" w:ascii="楷体_GB2312" w:hAnsi="楷体" w:eastAsia="楷体_GB2312" w:cs="Times New Roman"/>
          <w:b/>
          <w:sz w:val="32"/>
          <w:szCs w:val="32"/>
          <w:lang w:val="en-US" w:eastAsia="zh-CN" w:bidi="ar-SA"/>
        </w:rPr>
      </w:pPr>
      <w:bookmarkStart w:id="483" w:name="_Toc22893"/>
      <w:r>
        <w:rPr>
          <w:rFonts w:hint="eastAsia" w:ascii="楷体_GB2312" w:hAnsi="楷体" w:eastAsia="楷体_GB2312" w:cs="Times New Roman"/>
          <w:b/>
          <w:sz w:val="32"/>
          <w:szCs w:val="32"/>
          <w:lang w:val="en-US" w:eastAsia="zh-CN" w:bidi="ar-SA"/>
        </w:rPr>
        <w:t>（一）全面推行清洁生产</w:t>
      </w:r>
    </w:p>
    <w:p w14:paraId="37F9A44A">
      <w:pPr>
        <w:keepNext w:val="0"/>
        <w:keepLines w:val="0"/>
        <w:pageBreakBefore w:val="0"/>
        <w:widowControl w:val="0"/>
        <w:kinsoku/>
        <w:wordWrap/>
        <w:overflowPunct/>
        <w:topLinePunct w:val="0"/>
        <w:autoSpaceDE w:val="0"/>
        <w:autoSpaceDN w:val="0"/>
        <w:bidi w:val="0"/>
        <w:adjustRightInd/>
        <w:snapToGrid/>
        <w:spacing w:after="0" w:afterLines="0" w:afterAutospacing="0" w:line="600" w:lineRule="exact"/>
        <w:ind w:left="0" w:leftChars="0" w:firstLine="640" w:firstLineChars="200"/>
        <w:jc w:val="both"/>
        <w:textAlignment w:val="auto"/>
        <w:outlineLvl w:val="9"/>
        <w:rPr>
          <w:rFonts w:ascii="Times New Roman" w:hAnsi="Times New Roman" w:eastAsia="仿宋_GB2312" w:cs="Times New Roman"/>
          <w:sz w:val="32"/>
          <w:szCs w:val="22"/>
          <w:lang w:val="en-US" w:eastAsia="en-US" w:bidi="ar-SA"/>
        </w:rPr>
      </w:pPr>
      <w:r>
        <w:rPr>
          <w:rFonts w:hint="eastAsia" w:ascii="Times New Roman" w:hAnsi="Times New Roman" w:eastAsia="仿宋_GB2312" w:cs="Times New Roman"/>
          <w:sz w:val="32"/>
          <w:szCs w:val="22"/>
          <w:lang w:val="en-US" w:eastAsia="en-US" w:bidi="ar-SA"/>
        </w:rPr>
        <w:t>围绕碳达峰、碳中和，推进</w:t>
      </w:r>
      <w:r>
        <w:rPr>
          <w:rFonts w:hint="eastAsia" w:ascii="Times New Roman" w:hAnsi="Times New Roman" w:eastAsia="仿宋_GB2312" w:cs="Times New Roman"/>
          <w:sz w:val="32"/>
          <w:szCs w:val="22"/>
          <w:lang w:val="en-US" w:eastAsia="zh-CN" w:bidi="ar-SA"/>
        </w:rPr>
        <w:t>新材料</w:t>
      </w:r>
      <w:r>
        <w:rPr>
          <w:rFonts w:hint="eastAsia" w:ascii="Times New Roman" w:hAnsi="Times New Roman" w:eastAsia="仿宋_GB2312" w:cs="Times New Roman"/>
          <w:sz w:val="32"/>
          <w:szCs w:val="22"/>
          <w:lang w:val="en-US" w:eastAsia="en-US" w:bidi="ar-SA"/>
        </w:rPr>
        <w:t>、绿色建筑建材等产业低碳化发展。加快实施绿色化技术改造，推动企业实施一批用地集约化、生产清洁化、废物资源化、能源低碳化项目</w:t>
      </w:r>
      <w:r>
        <w:rPr>
          <w:rFonts w:hint="eastAsia" w:ascii="Times New Roman" w:hAnsi="Times New Roman" w:eastAsia="仿宋_GB2312" w:cs="Times New Roman"/>
          <w:sz w:val="32"/>
          <w:szCs w:val="22"/>
          <w:lang w:val="en-US" w:eastAsia="zh-CN" w:bidi="ar-SA"/>
        </w:rPr>
        <w:t>；</w:t>
      </w:r>
      <w:r>
        <w:rPr>
          <w:rFonts w:hint="eastAsia" w:ascii="Times New Roman" w:hAnsi="Times New Roman" w:eastAsia="仿宋_GB2312" w:cs="Times New Roman"/>
          <w:sz w:val="32"/>
          <w:szCs w:val="22"/>
          <w:lang w:val="en-US" w:eastAsia="en-US" w:bidi="ar-SA"/>
        </w:rPr>
        <w:t>持续推进开展节水型企业创建</w:t>
      </w:r>
      <w:r>
        <w:rPr>
          <w:rFonts w:hint="eastAsia" w:ascii="Times New Roman" w:hAnsi="Times New Roman" w:eastAsia="仿宋_GB2312" w:cs="Times New Roman"/>
          <w:sz w:val="32"/>
          <w:szCs w:val="22"/>
          <w:lang w:val="en-US" w:eastAsia="zh-CN" w:bidi="ar-SA"/>
        </w:rPr>
        <w:t>；优化产业能源结构，严控原煤等化石能源使用，推动企业加大对光伏等新能源的使用，降低行业碳排放；</w:t>
      </w:r>
      <w:r>
        <w:rPr>
          <w:rFonts w:hint="eastAsia" w:ascii="Times New Roman" w:hAnsi="Times New Roman" w:eastAsia="仿宋_GB2312" w:cs="Times New Roman"/>
          <w:sz w:val="32"/>
          <w:szCs w:val="22"/>
          <w:lang w:val="en-US" w:eastAsia="en-US" w:bidi="ar-SA"/>
        </w:rPr>
        <w:t>推深做细工业领域节能环保“五个一百”提升行动，深挖我市具有市场推广潜力的节能环保装备产品并推广到工业、农业、城建、商务流通等各行业。</w:t>
      </w:r>
      <w:bookmarkEnd w:id="483"/>
    </w:p>
    <w:p w14:paraId="4EE8C903">
      <w:pPr>
        <w:keepNext w:val="0"/>
        <w:keepLines w:val="0"/>
        <w:pageBreakBefore w:val="0"/>
        <w:widowControl w:val="0"/>
        <w:numPr>
          <w:ilvl w:val="0"/>
          <w:numId w:val="0"/>
        </w:numPr>
        <w:kinsoku/>
        <w:wordWrap/>
        <w:overflowPunct/>
        <w:topLinePunct w:val="0"/>
        <w:autoSpaceDE w:val="0"/>
        <w:autoSpaceDN w:val="0"/>
        <w:bidi w:val="0"/>
        <w:adjustRightInd/>
        <w:snapToGrid/>
        <w:spacing w:after="0" w:line="600" w:lineRule="exact"/>
        <w:ind w:left="0" w:leftChars="0" w:firstLine="643" w:firstLineChars="200"/>
        <w:jc w:val="both"/>
        <w:textAlignment w:val="auto"/>
        <w:outlineLvl w:val="9"/>
        <w:rPr>
          <w:rFonts w:hint="eastAsia" w:ascii="楷体_GB2312" w:hAnsi="楷体" w:eastAsia="楷体_GB2312" w:cs="Times New Roman"/>
          <w:b/>
          <w:sz w:val="32"/>
          <w:szCs w:val="32"/>
          <w:lang w:val="en-US" w:eastAsia="zh-CN" w:bidi="ar-SA"/>
        </w:rPr>
      </w:pPr>
      <w:r>
        <w:rPr>
          <w:rFonts w:hint="eastAsia" w:ascii="楷体_GB2312" w:hAnsi="楷体" w:eastAsia="楷体_GB2312" w:cs="Times New Roman"/>
          <w:b/>
          <w:sz w:val="32"/>
          <w:szCs w:val="32"/>
          <w:lang w:val="en-US" w:eastAsia="zh-CN" w:bidi="ar-SA"/>
        </w:rPr>
        <w:t>（二）加强环境保护</w:t>
      </w:r>
    </w:p>
    <w:p w14:paraId="7CB2C13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outlineLvl w:val="9"/>
        <w:rPr>
          <w:rFonts w:hint="eastAsia" w:ascii="仿宋_GB2312" w:hAnsi="仿宋" w:eastAsia="仿宋_GB2312" w:cs="仿宋"/>
          <w:color w:val="000000"/>
          <w:kern w:val="2"/>
          <w:sz w:val="32"/>
          <w:szCs w:val="32"/>
          <w:lang w:val="en-US" w:eastAsia="zh-CN"/>
        </w:rPr>
      </w:pPr>
      <w:r>
        <w:rPr>
          <w:rFonts w:hint="eastAsia" w:ascii="仿宋_GB2312" w:hAnsi="仿宋" w:eastAsia="仿宋_GB2312" w:cs="仿宋"/>
          <w:color w:val="000000"/>
          <w:kern w:val="2"/>
          <w:sz w:val="32"/>
          <w:szCs w:val="32"/>
          <w:lang w:val="en-US" w:eastAsia="zh-CN"/>
        </w:rPr>
        <w:t>加强源头治理。新建新材料企业必须坚持污染治理设施与主体设施同时设计、同时施工、同时投产的“三同时”制度；对老旧工艺路线和设备及时更新，降低污染严重的设备和管道的跑、冒、滴、漏等现象，并在自动化系统中采用泄漏检测等技术。完善废物处理。对生产装置排放的废气，根据废气组成分别采用切实可行的处理方法，确保工艺废气的治理效果。完善排水管网系统，所有污水由统一设定的污水总排口排放，对各企业分别排入的污水实施监控，严格执行接纳标准。建立健全工业固体废物从产生到处置全过程的污染环境防治责任制度，实现工业固体废物可追溯、可查询。危险废物应按照“减量化、资源化和无害化”的要求，立足就近安全处置的原则，委托有资质的固废处理单位进行最终处置，安全处置率须达到</w:t>
      </w:r>
      <w:r>
        <w:rPr>
          <w:rFonts w:hint="default" w:ascii="仿宋_GB2312" w:hAnsi="仿宋" w:eastAsia="仿宋_GB2312" w:cs="仿宋"/>
          <w:color w:val="000000"/>
          <w:kern w:val="2"/>
          <w:sz w:val="32"/>
          <w:szCs w:val="32"/>
          <w:lang w:val="en-US" w:eastAsia="zh-CN"/>
        </w:rPr>
        <w:t>100%</w:t>
      </w:r>
      <w:r>
        <w:rPr>
          <w:rFonts w:hint="eastAsia" w:ascii="仿宋_GB2312" w:hAnsi="仿宋" w:eastAsia="仿宋_GB2312" w:cs="仿宋"/>
          <w:color w:val="000000"/>
          <w:kern w:val="2"/>
          <w:sz w:val="32"/>
          <w:szCs w:val="32"/>
          <w:lang w:val="en-US" w:eastAsia="zh-CN"/>
        </w:rPr>
        <w:t>。</w:t>
      </w:r>
    </w:p>
    <w:p w14:paraId="459AB7B0">
      <w:pPr>
        <w:keepNext w:val="0"/>
        <w:keepLines w:val="0"/>
        <w:pageBreakBefore w:val="0"/>
        <w:widowControl w:val="0"/>
        <w:numPr>
          <w:ilvl w:val="0"/>
          <w:numId w:val="0"/>
        </w:numPr>
        <w:kinsoku/>
        <w:wordWrap/>
        <w:overflowPunct/>
        <w:topLinePunct w:val="0"/>
        <w:autoSpaceDE w:val="0"/>
        <w:autoSpaceDN w:val="0"/>
        <w:bidi w:val="0"/>
        <w:adjustRightInd/>
        <w:snapToGrid/>
        <w:spacing w:after="0" w:line="600" w:lineRule="exact"/>
        <w:ind w:left="0" w:leftChars="0" w:firstLine="643" w:firstLineChars="200"/>
        <w:jc w:val="both"/>
        <w:textAlignment w:val="auto"/>
        <w:outlineLvl w:val="9"/>
        <w:rPr>
          <w:rFonts w:hint="default" w:ascii="楷体_GB2312" w:hAnsi="楷体" w:eastAsia="楷体_GB2312" w:cs="Times New Roman"/>
          <w:b/>
          <w:sz w:val="32"/>
          <w:szCs w:val="32"/>
          <w:lang w:val="en-US" w:eastAsia="zh-CN" w:bidi="ar-SA"/>
        </w:rPr>
      </w:pPr>
      <w:r>
        <w:rPr>
          <w:rFonts w:hint="eastAsia" w:ascii="楷体_GB2312" w:hAnsi="楷体" w:eastAsia="楷体_GB2312" w:cs="Times New Roman"/>
          <w:b/>
          <w:sz w:val="32"/>
          <w:szCs w:val="32"/>
          <w:lang w:val="en-US" w:eastAsia="zh-CN" w:bidi="ar-SA"/>
        </w:rPr>
        <w:t>（三）加强安全监管</w:t>
      </w:r>
    </w:p>
    <w:p w14:paraId="4E762AE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outlineLvl w:val="9"/>
        <w:rPr>
          <w:rFonts w:hint="eastAsia" w:ascii="仿宋_GB2312" w:hAnsi="仿宋" w:eastAsia="仿宋_GB2312" w:cs="仿宋"/>
          <w:color w:val="000000"/>
          <w:kern w:val="2"/>
          <w:sz w:val="32"/>
          <w:szCs w:val="32"/>
          <w:lang w:val="en-US" w:eastAsia="zh-CN"/>
        </w:rPr>
      </w:pPr>
      <w:r>
        <w:rPr>
          <w:rFonts w:hint="eastAsia" w:ascii="仿宋_GB2312" w:hAnsi="仿宋" w:eastAsia="仿宋_GB2312" w:cs="仿宋"/>
          <w:color w:val="000000"/>
          <w:kern w:val="2"/>
          <w:sz w:val="32"/>
          <w:szCs w:val="32"/>
          <w:lang w:val="en-US" w:eastAsia="zh-CN"/>
        </w:rPr>
        <w:t>加强安全生产监督管理机构建设。各园区、企业应设置专门的安全生产监督管理部门，配备足额的安全监管人员，建立企业安全风险数据库，定期组织开展事故隐患排查治理，并对排查出的事故隐患进行风险评估和登记，实行分级管理。严格企业安全生产准入条件。严格执行新建、改建、扩建工程项目安全设施、职业健康“三同时”制度，严格把控高危行业安全准入条件。强化企业安全生产主体责任。推动企业建立健全并实施生产经营活动全过程安全生产和职业健康管理制度，指导企业安全生产标准化动态达标升级。鼓励企业与安全生产专业技术服务机构签订安全生产技术服务协议，提高安全生产风险辨识能力和安全管理水平。</w:t>
      </w:r>
    </w:p>
    <w:p w14:paraId="6394085C">
      <w:pPr>
        <w:keepNext w:val="0"/>
        <w:keepLines w:val="0"/>
        <w:pageBreakBefore w:val="0"/>
        <w:widowControl w:val="0"/>
        <w:numPr>
          <w:ilvl w:val="0"/>
          <w:numId w:val="0"/>
        </w:numPr>
        <w:kinsoku/>
        <w:wordWrap/>
        <w:overflowPunct/>
        <w:topLinePunct w:val="0"/>
        <w:autoSpaceDE w:val="0"/>
        <w:autoSpaceDN w:val="0"/>
        <w:bidi w:val="0"/>
        <w:adjustRightInd/>
        <w:snapToGrid/>
        <w:spacing w:after="0" w:line="600" w:lineRule="exact"/>
        <w:ind w:left="0" w:leftChars="0" w:firstLine="640" w:firstLineChars="200"/>
        <w:jc w:val="both"/>
        <w:textAlignment w:val="auto"/>
        <w:outlineLvl w:val="9"/>
        <w:rPr>
          <w:rFonts w:hint="eastAsia" w:ascii="Times New Roman" w:hAnsi="Times New Roman" w:eastAsia="黑体" w:cs="Times New Roman"/>
          <w:b w:val="0"/>
          <w:bCs/>
          <w:kern w:val="44"/>
          <w:sz w:val="32"/>
          <w:szCs w:val="44"/>
          <w:lang w:val="en-US" w:eastAsia="zh-CN" w:bidi="ar-SA"/>
        </w:rPr>
      </w:pPr>
      <w:r>
        <w:rPr>
          <w:rFonts w:hint="eastAsia" w:ascii="Times New Roman" w:hAnsi="Times New Roman" w:eastAsia="黑体" w:cs="Times New Roman"/>
          <w:b w:val="0"/>
          <w:bCs/>
          <w:kern w:val="44"/>
          <w:sz w:val="32"/>
          <w:szCs w:val="44"/>
          <w:lang w:val="en-US" w:eastAsia="zh-CN" w:bidi="ar-SA"/>
        </w:rPr>
        <w:t>四、总结</w:t>
      </w:r>
    </w:p>
    <w:p w14:paraId="77312AAE">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jc w:val="both"/>
        <w:textAlignment w:val="auto"/>
        <w:outlineLvl w:val="9"/>
        <w:rPr>
          <w:rFonts w:hint="default"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eastAsia="en-US"/>
        </w:rPr>
        <w:t>《规划》充分考虑全市资源与环境承载能力，统筹节能、环保</w:t>
      </w:r>
      <w:r>
        <w:rPr>
          <w:rFonts w:hint="eastAsia" w:ascii="仿宋_GB2312" w:hAnsi="仿宋_GB2312" w:eastAsia="仿宋_GB2312" w:cs="仿宋_GB2312"/>
          <w:bCs/>
          <w:kern w:val="0"/>
          <w:sz w:val="32"/>
          <w:szCs w:val="32"/>
          <w:lang w:val="en-US" w:eastAsia="zh-CN"/>
        </w:rPr>
        <w:t>和安全，符合经济效益、社会效益和环境效益协调统一，从环境保护角度分析，《规划》提出的举措对地表水环境、地下水环境、声环境和大气环境的影响均较小，《规划》是可行的。</w:t>
      </w:r>
    </w:p>
    <w:p w14:paraId="35586B34"/>
    <w:p w14:paraId="196D639A"/>
    <w:sectPr>
      <w:footerReference r:id="rId8"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27ECE">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D963B">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986EC4">
                          <w:pPr>
                            <w:pStyle w:val="16"/>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WTfs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mD3Lwlbv&#10;LI/QUR5vV8cAOZPKUZROCXQnbjB9qU/9S4nj/ec+RT3+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1Fk37MQIAAGUEAAAOAAAAAAAAAAEAIAAAAB8BAABkcnMvZTJvRG9jLnhtbFBLBQYA&#10;AAAABgAGAFkBAADCBQAAAAA=&#10;">
              <v:fill on="f" focussize="0,0"/>
              <v:stroke on="f" weight="0.5pt"/>
              <v:imagedata o:title=""/>
              <o:lock v:ext="edit" aspectratio="f"/>
              <v:textbox inset="0mm,0mm,0mm,0mm" style="mso-fit-shape-to-text:t;">
                <w:txbxContent>
                  <w:p w14:paraId="5F986EC4">
                    <w:pPr>
                      <w:pStyle w:val="16"/>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34179518">
        <w:pPr>
          <w:pStyle w:val="16"/>
          <w:jc w:val="center"/>
        </w:pPr>
        <w:r>
          <w:fldChar w:fldCharType="begin"/>
        </w:r>
        <w:r>
          <w:instrText xml:space="preserve">PAGE   \* MERGEFORMAT</w:instrText>
        </w:r>
        <w:r>
          <w:fldChar w:fldCharType="separate"/>
        </w:r>
        <w:r>
          <w:rPr>
            <w:lang w:val="zh-CN"/>
          </w:rPr>
          <w:t>2</w:t>
        </w:r>
        <w:r>
          <w:fldChar w:fldCharType="end"/>
        </w:r>
      </w:p>
    </w:sdtContent>
  </w:sdt>
  <w:p w14:paraId="3EAF6A45">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
    </w:sdtPr>
    <w:sdtContent>
      <w:p w14:paraId="65C771EA">
        <w:pPr>
          <w:pStyle w:val="16"/>
          <w:jc w:val="center"/>
        </w:pPr>
        <w:r>
          <w:fldChar w:fldCharType="begin"/>
        </w:r>
        <w:r>
          <w:instrText xml:space="preserve">PAGE   \* MERGEFORMAT</w:instrText>
        </w:r>
        <w:r>
          <w:fldChar w:fldCharType="separate"/>
        </w:r>
        <w:r>
          <w:rPr>
            <w:lang w:val="zh-CN"/>
          </w:rPr>
          <w:t>2</w:t>
        </w:r>
        <w:r>
          <w:fldChar w:fldCharType="end"/>
        </w:r>
      </w:p>
    </w:sdtContent>
  </w:sdt>
  <w:p w14:paraId="784CE42B">
    <w:pPr>
      <w:pStyle w:val="1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
    </w:sdtPr>
    <w:sdtContent>
      <w:p w14:paraId="08A2825D">
        <w:pPr>
          <w:pStyle w:val="16"/>
          <w:jc w:val="center"/>
        </w:pPr>
        <w:r>
          <w:fldChar w:fldCharType="begin"/>
        </w:r>
        <w:r>
          <w:instrText xml:space="preserve">PAGE   \* MERGEFORMAT</w:instrText>
        </w:r>
        <w:r>
          <w:fldChar w:fldCharType="separate"/>
        </w:r>
        <w:r>
          <w:rPr>
            <w:lang w:val="zh-CN"/>
          </w:rPr>
          <w:t>2</w:t>
        </w:r>
        <w:r>
          <w:fldChar w:fldCharType="end"/>
        </w:r>
      </w:p>
    </w:sdtContent>
  </w:sdt>
  <w:p w14:paraId="58972D49">
    <w:pPr>
      <w:pStyle w:val="1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0959A">
    <w:pPr>
      <w:widowControl w:val="0"/>
      <w:autoSpaceDE w:val="0"/>
      <w:autoSpaceDN w:val="0"/>
      <w:snapToGrid w:val="0"/>
      <w:jc w:val="left"/>
      <w:rPr>
        <w:rFonts w:ascii="仿宋" w:hAnsi="仿宋" w:eastAsia="仿宋" w:cs="仿宋"/>
        <w:sz w:val="18"/>
        <w:szCs w:val="22"/>
        <w:lang w:val="en-US" w:eastAsia="en-US" w:bidi="ar-SA"/>
      </w:rPr>
    </w:pPr>
    <w:r>
      <w:rPr>
        <w:rFonts w:ascii="仿宋" w:hAnsi="仿宋" w:eastAsia="仿宋" w:cs="仿宋"/>
        <w:sz w:val="18"/>
        <w:szCs w:val="22"/>
        <w:lang w:val="en-US" w:eastAsia="en-US" w:bidi="ar-SA"/>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B8E2F3">
                          <w:pPr>
                            <w:widowControl w:val="0"/>
                            <w:autoSpaceDE w:val="0"/>
                            <w:autoSpaceDN w:val="0"/>
                            <w:snapToGrid w:val="0"/>
                            <w:jc w:val="left"/>
                            <w:rPr>
                              <w:rFonts w:ascii="仿宋" w:hAnsi="仿宋" w:eastAsia="仿宋" w:cs="仿宋"/>
                              <w:sz w:val="18"/>
                              <w:szCs w:val="22"/>
                              <w:lang w:val="en-US" w:eastAsia="en-US" w:bidi="ar-SA"/>
                            </w:rPr>
                          </w:pPr>
                          <w:r>
                            <w:rPr>
                              <w:rFonts w:ascii="仿宋" w:hAnsi="仿宋" w:eastAsia="仿宋" w:cs="仿宋"/>
                              <w:sz w:val="18"/>
                              <w:szCs w:val="22"/>
                              <w:lang w:val="en-US" w:eastAsia="en-US" w:bidi="ar-SA"/>
                            </w:rPr>
                            <w:fldChar w:fldCharType="begin"/>
                          </w:r>
                          <w:r>
                            <w:rPr>
                              <w:rFonts w:ascii="仿宋" w:hAnsi="仿宋" w:eastAsia="仿宋" w:cs="仿宋"/>
                              <w:sz w:val="18"/>
                              <w:szCs w:val="22"/>
                              <w:lang w:val="en-US" w:eastAsia="en-US" w:bidi="ar-SA"/>
                            </w:rPr>
                            <w:instrText xml:space="preserve"> PAGE  \* MERGEFORMAT </w:instrText>
                          </w:r>
                          <w:r>
                            <w:rPr>
                              <w:rFonts w:ascii="仿宋" w:hAnsi="仿宋" w:eastAsia="仿宋" w:cs="仿宋"/>
                              <w:sz w:val="18"/>
                              <w:szCs w:val="22"/>
                              <w:lang w:val="en-US" w:eastAsia="en-US" w:bidi="ar-SA"/>
                            </w:rPr>
                            <w:fldChar w:fldCharType="separate"/>
                          </w:r>
                          <w:r>
                            <w:rPr>
                              <w:rFonts w:ascii="仿宋" w:hAnsi="仿宋" w:eastAsia="仿宋" w:cs="仿宋"/>
                              <w:sz w:val="18"/>
                              <w:szCs w:val="22"/>
                              <w:lang w:val="en-US" w:eastAsia="en-US" w:bidi="ar-SA"/>
                            </w:rPr>
                            <w:t>1</w:t>
                          </w:r>
                          <w:r>
                            <w:rPr>
                              <w:rFonts w:ascii="仿宋" w:hAnsi="仿宋" w:eastAsia="仿宋" w:cs="仿宋"/>
                              <w:sz w:val="18"/>
                              <w:szCs w:val="22"/>
                              <w:lang w:val="en-US" w:eastAsia="en-US"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32B8E2F3">
                    <w:pPr>
                      <w:widowControl w:val="0"/>
                      <w:autoSpaceDE w:val="0"/>
                      <w:autoSpaceDN w:val="0"/>
                      <w:snapToGrid w:val="0"/>
                      <w:jc w:val="left"/>
                      <w:rPr>
                        <w:rFonts w:ascii="仿宋" w:hAnsi="仿宋" w:eastAsia="仿宋" w:cs="仿宋"/>
                        <w:sz w:val="18"/>
                        <w:szCs w:val="22"/>
                        <w:lang w:val="en-US" w:eastAsia="en-US" w:bidi="ar-SA"/>
                      </w:rPr>
                    </w:pPr>
                    <w:r>
                      <w:rPr>
                        <w:rFonts w:ascii="仿宋" w:hAnsi="仿宋" w:eastAsia="仿宋" w:cs="仿宋"/>
                        <w:sz w:val="18"/>
                        <w:szCs w:val="22"/>
                        <w:lang w:val="en-US" w:eastAsia="en-US" w:bidi="ar-SA"/>
                      </w:rPr>
                      <w:fldChar w:fldCharType="begin"/>
                    </w:r>
                    <w:r>
                      <w:rPr>
                        <w:rFonts w:ascii="仿宋" w:hAnsi="仿宋" w:eastAsia="仿宋" w:cs="仿宋"/>
                        <w:sz w:val="18"/>
                        <w:szCs w:val="22"/>
                        <w:lang w:val="en-US" w:eastAsia="en-US" w:bidi="ar-SA"/>
                      </w:rPr>
                      <w:instrText xml:space="preserve"> PAGE  \* MERGEFORMAT </w:instrText>
                    </w:r>
                    <w:r>
                      <w:rPr>
                        <w:rFonts w:ascii="仿宋" w:hAnsi="仿宋" w:eastAsia="仿宋" w:cs="仿宋"/>
                        <w:sz w:val="18"/>
                        <w:szCs w:val="22"/>
                        <w:lang w:val="en-US" w:eastAsia="en-US" w:bidi="ar-SA"/>
                      </w:rPr>
                      <w:fldChar w:fldCharType="separate"/>
                    </w:r>
                    <w:r>
                      <w:rPr>
                        <w:rFonts w:ascii="仿宋" w:hAnsi="仿宋" w:eastAsia="仿宋" w:cs="仿宋"/>
                        <w:sz w:val="18"/>
                        <w:szCs w:val="22"/>
                        <w:lang w:val="en-US" w:eastAsia="en-US" w:bidi="ar-SA"/>
                      </w:rPr>
                      <w:t>1</w:t>
                    </w:r>
                    <w:r>
                      <w:rPr>
                        <w:rFonts w:ascii="仿宋" w:hAnsi="仿宋" w:eastAsia="仿宋" w:cs="仿宋"/>
                        <w:sz w:val="18"/>
                        <w:szCs w:val="22"/>
                        <w:lang w:val="en-US" w:eastAsia="en-US" w:bidi="ar-S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6F7950"/>
    <w:multiLevelType w:val="singleLevel"/>
    <w:tmpl w:val="AA6F7950"/>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91C44"/>
    <w:rsid w:val="00172A27"/>
    <w:rsid w:val="00204AC9"/>
    <w:rsid w:val="0024764D"/>
    <w:rsid w:val="002C615D"/>
    <w:rsid w:val="00360E6D"/>
    <w:rsid w:val="004717F1"/>
    <w:rsid w:val="004751EA"/>
    <w:rsid w:val="004A2CDE"/>
    <w:rsid w:val="006246B0"/>
    <w:rsid w:val="009503B5"/>
    <w:rsid w:val="00B46E58"/>
    <w:rsid w:val="00CC48CC"/>
    <w:rsid w:val="00CD5DB2"/>
    <w:rsid w:val="00DB740B"/>
    <w:rsid w:val="00DC0093"/>
    <w:rsid w:val="00E045EE"/>
    <w:rsid w:val="00F1795A"/>
    <w:rsid w:val="017E12B4"/>
    <w:rsid w:val="017F06FF"/>
    <w:rsid w:val="01A7197B"/>
    <w:rsid w:val="01CF5587"/>
    <w:rsid w:val="01E75317"/>
    <w:rsid w:val="01F02283"/>
    <w:rsid w:val="023074F9"/>
    <w:rsid w:val="025C3ACE"/>
    <w:rsid w:val="02804EC3"/>
    <w:rsid w:val="029378BD"/>
    <w:rsid w:val="02984FA7"/>
    <w:rsid w:val="02B1010A"/>
    <w:rsid w:val="02F30D1D"/>
    <w:rsid w:val="032A0A70"/>
    <w:rsid w:val="0355668F"/>
    <w:rsid w:val="0356667E"/>
    <w:rsid w:val="043634DE"/>
    <w:rsid w:val="046733DA"/>
    <w:rsid w:val="047519CC"/>
    <w:rsid w:val="048534A6"/>
    <w:rsid w:val="04930D50"/>
    <w:rsid w:val="0494554F"/>
    <w:rsid w:val="0496421B"/>
    <w:rsid w:val="04C12FA3"/>
    <w:rsid w:val="04DE7F47"/>
    <w:rsid w:val="055727B2"/>
    <w:rsid w:val="05773FB1"/>
    <w:rsid w:val="05BE54CC"/>
    <w:rsid w:val="061D58D6"/>
    <w:rsid w:val="061F67E9"/>
    <w:rsid w:val="062E6C61"/>
    <w:rsid w:val="06B07292"/>
    <w:rsid w:val="0758758F"/>
    <w:rsid w:val="07681486"/>
    <w:rsid w:val="07744956"/>
    <w:rsid w:val="077B501C"/>
    <w:rsid w:val="07922320"/>
    <w:rsid w:val="07A4458E"/>
    <w:rsid w:val="081B6651"/>
    <w:rsid w:val="088D7880"/>
    <w:rsid w:val="08EF3D35"/>
    <w:rsid w:val="096A0F44"/>
    <w:rsid w:val="09C73D5C"/>
    <w:rsid w:val="09E464B1"/>
    <w:rsid w:val="0A1C1475"/>
    <w:rsid w:val="0A3D1EE0"/>
    <w:rsid w:val="0A3F56C8"/>
    <w:rsid w:val="0A783B56"/>
    <w:rsid w:val="0A832B0E"/>
    <w:rsid w:val="0A9A7223"/>
    <w:rsid w:val="0AE81906"/>
    <w:rsid w:val="0B020CF9"/>
    <w:rsid w:val="0B154A29"/>
    <w:rsid w:val="0B6B07C2"/>
    <w:rsid w:val="0C0F30BB"/>
    <w:rsid w:val="0CC534AB"/>
    <w:rsid w:val="0CD87C3A"/>
    <w:rsid w:val="0CED6B92"/>
    <w:rsid w:val="0D05642B"/>
    <w:rsid w:val="0D0D5B86"/>
    <w:rsid w:val="0D732CED"/>
    <w:rsid w:val="0DAC2C62"/>
    <w:rsid w:val="0DCF3467"/>
    <w:rsid w:val="0DE60D46"/>
    <w:rsid w:val="0DE97889"/>
    <w:rsid w:val="0DF77166"/>
    <w:rsid w:val="0E113A97"/>
    <w:rsid w:val="0E3577F8"/>
    <w:rsid w:val="0E3C4641"/>
    <w:rsid w:val="0E545603"/>
    <w:rsid w:val="0EC35EE3"/>
    <w:rsid w:val="0EC959D9"/>
    <w:rsid w:val="0ED93C8D"/>
    <w:rsid w:val="0EFA107E"/>
    <w:rsid w:val="0F033156"/>
    <w:rsid w:val="0F232DEA"/>
    <w:rsid w:val="0F2946B6"/>
    <w:rsid w:val="0F4C39DD"/>
    <w:rsid w:val="0F9F7EBA"/>
    <w:rsid w:val="0FBD36AA"/>
    <w:rsid w:val="0FC96C2F"/>
    <w:rsid w:val="0FDF56A7"/>
    <w:rsid w:val="101008A5"/>
    <w:rsid w:val="1077173C"/>
    <w:rsid w:val="107D2E6C"/>
    <w:rsid w:val="109310A5"/>
    <w:rsid w:val="10EF1BA4"/>
    <w:rsid w:val="11473F22"/>
    <w:rsid w:val="11A347E5"/>
    <w:rsid w:val="11E84674"/>
    <w:rsid w:val="1202366D"/>
    <w:rsid w:val="124249F3"/>
    <w:rsid w:val="129F6B4F"/>
    <w:rsid w:val="12BC2F56"/>
    <w:rsid w:val="12D16EB8"/>
    <w:rsid w:val="12FE55D6"/>
    <w:rsid w:val="13034B4A"/>
    <w:rsid w:val="1319031E"/>
    <w:rsid w:val="13300953"/>
    <w:rsid w:val="13897F9C"/>
    <w:rsid w:val="13994593"/>
    <w:rsid w:val="13D711D1"/>
    <w:rsid w:val="143E4A1F"/>
    <w:rsid w:val="1442281B"/>
    <w:rsid w:val="147F2335"/>
    <w:rsid w:val="14B44513"/>
    <w:rsid w:val="14C85312"/>
    <w:rsid w:val="14F7643E"/>
    <w:rsid w:val="14F87CA5"/>
    <w:rsid w:val="14FB41D7"/>
    <w:rsid w:val="151C7A86"/>
    <w:rsid w:val="157D38D6"/>
    <w:rsid w:val="15AE7CB5"/>
    <w:rsid w:val="15C06460"/>
    <w:rsid w:val="15D4099D"/>
    <w:rsid w:val="164161C1"/>
    <w:rsid w:val="1659169A"/>
    <w:rsid w:val="16867B1A"/>
    <w:rsid w:val="16C60033"/>
    <w:rsid w:val="16E349E8"/>
    <w:rsid w:val="171A1195"/>
    <w:rsid w:val="174A7158"/>
    <w:rsid w:val="17720C8D"/>
    <w:rsid w:val="17725312"/>
    <w:rsid w:val="17754E68"/>
    <w:rsid w:val="17912694"/>
    <w:rsid w:val="17E309DA"/>
    <w:rsid w:val="184D20AD"/>
    <w:rsid w:val="18C91A6D"/>
    <w:rsid w:val="197C202B"/>
    <w:rsid w:val="197E58A2"/>
    <w:rsid w:val="198530B0"/>
    <w:rsid w:val="198542E0"/>
    <w:rsid w:val="19BD6E30"/>
    <w:rsid w:val="19BE2928"/>
    <w:rsid w:val="19E553DA"/>
    <w:rsid w:val="19F12EDB"/>
    <w:rsid w:val="19FA02FD"/>
    <w:rsid w:val="1A1133ED"/>
    <w:rsid w:val="1A5B7AD5"/>
    <w:rsid w:val="1AC7527D"/>
    <w:rsid w:val="1AC861FB"/>
    <w:rsid w:val="1AE25B6F"/>
    <w:rsid w:val="1B0F2813"/>
    <w:rsid w:val="1BA251D3"/>
    <w:rsid w:val="1BE344CB"/>
    <w:rsid w:val="1BEB1CC7"/>
    <w:rsid w:val="1BF5593C"/>
    <w:rsid w:val="1BFB0FF6"/>
    <w:rsid w:val="1C15666A"/>
    <w:rsid w:val="1CB92401"/>
    <w:rsid w:val="1CCD2A09"/>
    <w:rsid w:val="1D657E91"/>
    <w:rsid w:val="1D9B35A7"/>
    <w:rsid w:val="1E115B72"/>
    <w:rsid w:val="1E3C0386"/>
    <w:rsid w:val="1E950F0B"/>
    <w:rsid w:val="1EA1371D"/>
    <w:rsid w:val="1EEF021C"/>
    <w:rsid w:val="1EFC4C0E"/>
    <w:rsid w:val="1F023A61"/>
    <w:rsid w:val="1F4A48AE"/>
    <w:rsid w:val="1F635A7B"/>
    <w:rsid w:val="1FBC4C37"/>
    <w:rsid w:val="1FC60AED"/>
    <w:rsid w:val="1FDB4312"/>
    <w:rsid w:val="200344E7"/>
    <w:rsid w:val="200F65C3"/>
    <w:rsid w:val="208448D1"/>
    <w:rsid w:val="20F52FAC"/>
    <w:rsid w:val="212F7370"/>
    <w:rsid w:val="214507F3"/>
    <w:rsid w:val="21523499"/>
    <w:rsid w:val="215D07F6"/>
    <w:rsid w:val="216060E2"/>
    <w:rsid w:val="2191290C"/>
    <w:rsid w:val="21C36C96"/>
    <w:rsid w:val="221749EF"/>
    <w:rsid w:val="22361E0B"/>
    <w:rsid w:val="22516AE8"/>
    <w:rsid w:val="226110CB"/>
    <w:rsid w:val="22AA3CE3"/>
    <w:rsid w:val="22EA322C"/>
    <w:rsid w:val="23443D84"/>
    <w:rsid w:val="2361111D"/>
    <w:rsid w:val="2361472A"/>
    <w:rsid w:val="23903E70"/>
    <w:rsid w:val="23BB2F81"/>
    <w:rsid w:val="23DA23B5"/>
    <w:rsid w:val="24246AC0"/>
    <w:rsid w:val="247C5A13"/>
    <w:rsid w:val="2493606B"/>
    <w:rsid w:val="24AA2DF9"/>
    <w:rsid w:val="24C751CF"/>
    <w:rsid w:val="24E43CDC"/>
    <w:rsid w:val="251E3CB2"/>
    <w:rsid w:val="253D3E94"/>
    <w:rsid w:val="254C0224"/>
    <w:rsid w:val="25CC2469"/>
    <w:rsid w:val="25DD222B"/>
    <w:rsid w:val="25FF2167"/>
    <w:rsid w:val="26207C03"/>
    <w:rsid w:val="268316DE"/>
    <w:rsid w:val="268D2720"/>
    <w:rsid w:val="27B47F3E"/>
    <w:rsid w:val="27BD5147"/>
    <w:rsid w:val="280F6FAD"/>
    <w:rsid w:val="28300DD5"/>
    <w:rsid w:val="286063AD"/>
    <w:rsid w:val="287A1BD7"/>
    <w:rsid w:val="289514C4"/>
    <w:rsid w:val="28AB40CE"/>
    <w:rsid w:val="28C30BAD"/>
    <w:rsid w:val="2902484D"/>
    <w:rsid w:val="294C7658"/>
    <w:rsid w:val="294D6020"/>
    <w:rsid w:val="297D1D7A"/>
    <w:rsid w:val="29AD362D"/>
    <w:rsid w:val="29C85FA2"/>
    <w:rsid w:val="2A045C58"/>
    <w:rsid w:val="2A6446F1"/>
    <w:rsid w:val="2A6A4733"/>
    <w:rsid w:val="2A6F397C"/>
    <w:rsid w:val="2A9E7408"/>
    <w:rsid w:val="2AA6152A"/>
    <w:rsid w:val="2AF24ECC"/>
    <w:rsid w:val="2AF25F03"/>
    <w:rsid w:val="2B325C71"/>
    <w:rsid w:val="2B8A1051"/>
    <w:rsid w:val="2B9A09B6"/>
    <w:rsid w:val="2BAE2217"/>
    <w:rsid w:val="2BE23D1F"/>
    <w:rsid w:val="2C0B5D80"/>
    <w:rsid w:val="2C1A3DB8"/>
    <w:rsid w:val="2C5559FE"/>
    <w:rsid w:val="2C8F63C3"/>
    <w:rsid w:val="2CC1751C"/>
    <w:rsid w:val="2CF5654F"/>
    <w:rsid w:val="2D0569A4"/>
    <w:rsid w:val="2D2278D2"/>
    <w:rsid w:val="2DBF30E6"/>
    <w:rsid w:val="2DF722A1"/>
    <w:rsid w:val="2E292B8A"/>
    <w:rsid w:val="2E3D11DC"/>
    <w:rsid w:val="2E81758A"/>
    <w:rsid w:val="2E833663"/>
    <w:rsid w:val="2E860DA6"/>
    <w:rsid w:val="2EEF6228"/>
    <w:rsid w:val="2F102750"/>
    <w:rsid w:val="2F204B21"/>
    <w:rsid w:val="2F28151D"/>
    <w:rsid w:val="2F5C18C2"/>
    <w:rsid w:val="2F835F9F"/>
    <w:rsid w:val="2FB032F0"/>
    <w:rsid w:val="2FDB4C14"/>
    <w:rsid w:val="2FEA498A"/>
    <w:rsid w:val="2FFB5987"/>
    <w:rsid w:val="300903D3"/>
    <w:rsid w:val="30477F04"/>
    <w:rsid w:val="304B1C68"/>
    <w:rsid w:val="307202A7"/>
    <w:rsid w:val="307C1E66"/>
    <w:rsid w:val="30A71AF3"/>
    <w:rsid w:val="30EE64D4"/>
    <w:rsid w:val="310D5222"/>
    <w:rsid w:val="31126183"/>
    <w:rsid w:val="31305907"/>
    <w:rsid w:val="314A58D7"/>
    <w:rsid w:val="31620EF8"/>
    <w:rsid w:val="319C4352"/>
    <w:rsid w:val="31A864F9"/>
    <w:rsid w:val="31BB5B09"/>
    <w:rsid w:val="31BB7D4D"/>
    <w:rsid w:val="31CF685F"/>
    <w:rsid w:val="3208425D"/>
    <w:rsid w:val="320966F8"/>
    <w:rsid w:val="32647188"/>
    <w:rsid w:val="32732F77"/>
    <w:rsid w:val="328C7339"/>
    <w:rsid w:val="328D36A1"/>
    <w:rsid w:val="329F537D"/>
    <w:rsid w:val="32F943AB"/>
    <w:rsid w:val="33036FDA"/>
    <w:rsid w:val="33254415"/>
    <w:rsid w:val="33475584"/>
    <w:rsid w:val="33741638"/>
    <w:rsid w:val="339033BC"/>
    <w:rsid w:val="33D40B0F"/>
    <w:rsid w:val="34500FCB"/>
    <w:rsid w:val="34837587"/>
    <w:rsid w:val="34BB7628"/>
    <w:rsid w:val="34F6257B"/>
    <w:rsid w:val="35403BF9"/>
    <w:rsid w:val="35551E4B"/>
    <w:rsid w:val="356B6FB4"/>
    <w:rsid w:val="36230C3C"/>
    <w:rsid w:val="36A33916"/>
    <w:rsid w:val="36B56021"/>
    <w:rsid w:val="36E34D72"/>
    <w:rsid w:val="36E36BE3"/>
    <w:rsid w:val="37404020"/>
    <w:rsid w:val="37882121"/>
    <w:rsid w:val="37C603A8"/>
    <w:rsid w:val="37DB7745"/>
    <w:rsid w:val="37F60059"/>
    <w:rsid w:val="37F74755"/>
    <w:rsid w:val="386B0CDD"/>
    <w:rsid w:val="38B77889"/>
    <w:rsid w:val="38CA6B10"/>
    <w:rsid w:val="392B2217"/>
    <w:rsid w:val="396219DB"/>
    <w:rsid w:val="39B03171"/>
    <w:rsid w:val="3A15409C"/>
    <w:rsid w:val="3A8F35E0"/>
    <w:rsid w:val="3AA666D3"/>
    <w:rsid w:val="3AF02455"/>
    <w:rsid w:val="3B276A3F"/>
    <w:rsid w:val="3B583E0C"/>
    <w:rsid w:val="3BB13104"/>
    <w:rsid w:val="3C2D25A1"/>
    <w:rsid w:val="3C341BB7"/>
    <w:rsid w:val="3C7B355A"/>
    <w:rsid w:val="3C895344"/>
    <w:rsid w:val="3CAA760A"/>
    <w:rsid w:val="3CBA1B3B"/>
    <w:rsid w:val="3CFF76D0"/>
    <w:rsid w:val="3D025B12"/>
    <w:rsid w:val="3D027591"/>
    <w:rsid w:val="3D2E25C1"/>
    <w:rsid w:val="3D3B18DD"/>
    <w:rsid w:val="3D5C6FE6"/>
    <w:rsid w:val="3D9B7959"/>
    <w:rsid w:val="3D9D3CB5"/>
    <w:rsid w:val="3D9F72AD"/>
    <w:rsid w:val="3DFF22E2"/>
    <w:rsid w:val="3E087D0D"/>
    <w:rsid w:val="3E6952E8"/>
    <w:rsid w:val="3EAE6F0E"/>
    <w:rsid w:val="3EB02DA3"/>
    <w:rsid w:val="3EDC5085"/>
    <w:rsid w:val="3F0E52BC"/>
    <w:rsid w:val="3F10025E"/>
    <w:rsid w:val="3F337CB6"/>
    <w:rsid w:val="3F46022F"/>
    <w:rsid w:val="3FA93948"/>
    <w:rsid w:val="3FC320C2"/>
    <w:rsid w:val="3FF80095"/>
    <w:rsid w:val="401E71C5"/>
    <w:rsid w:val="402D3BA4"/>
    <w:rsid w:val="404A7FB3"/>
    <w:rsid w:val="40877CAD"/>
    <w:rsid w:val="40D82AC4"/>
    <w:rsid w:val="414F0C6E"/>
    <w:rsid w:val="41A060A6"/>
    <w:rsid w:val="42A041C3"/>
    <w:rsid w:val="43192A0A"/>
    <w:rsid w:val="431A4257"/>
    <w:rsid w:val="440D58E3"/>
    <w:rsid w:val="44495FAE"/>
    <w:rsid w:val="457853A0"/>
    <w:rsid w:val="459854B0"/>
    <w:rsid w:val="45C302F0"/>
    <w:rsid w:val="45C45F61"/>
    <w:rsid w:val="4659232D"/>
    <w:rsid w:val="465A213F"/>
    <w:rsid w:val="465F3045"/>
    <w:rsid w:val="466D62C6"/>
    <w:rsid w:val="46796BCD"/>
    <w:rsid w:val="46A52D4B"/>
    <w:rsid w:val="46E25E6C"/>
    <w:rsid w:val="46FC679D"/>
    <w:rsid w:val="47113033"/>
    <w:rsid w:val="47266320"/>
    <w:rsid w:val="47577385"/>
    <w:rsid w:val="477B1812"/>
    <w:rsid w:val="477C7F19"/>
    <w:rsid w:val="47805982"/>
    <w:rsid w:val="47B24801"/>
    <w:rsid w:val="47C5108A"/>
    <w:rsid w:val="481B47FA"/>
    <w:rsid w:val="4840291F"/>
    <w:rsid w:val="48F117AD"/>
    <w:rsid w:val="495D3DBE"/>
    <w:rsid w:val="496243E0"/>
    <w:rsid w:val="497274E8"/>
    <w:rsid w:val="49A60DF6"/>
    <w:rsid w:val="49AD34D2"/>
    <w:rsid w:val="49BB0B34"/>
    <w:rsid w:val="49C35A69"/>
    <w:rsid w:val="49C74BFA"/>
    <w:rsid w:val="4A0E4ED8"/>
    <w:rsid w:val="4A293348"/>
    <w:rsid w:val="4A2A4DBD"/>
    <w:rsid w:val="4B211D66"/>
    <w:rsid w:val="4B262A1B"/>
    <w:rsid w:val="4B4F2190"/>
    <w:rsid w:val="4B56595F"/>
    <w:rsid w:val="4BC622B3"/>
    <w:rsid w:val="4BD761D6"/>
    <w:rsid w:val="4C966BCE"/>
    <w:rsid w:val="4CA07CEF"/>
    <w:rsid w:val="4CA45311"/>
    <w:rsid w:val="4CD25E12"/>
    <w:rsid w:val="4CE27CFA"/>
    <w:rsid w:val="4D240EAE"/>
    <w:rsid w:val="4D4F413C"/>
    <w:rsid w:val="4D887DD8"/>
    <w:rsid w:val="4DEA1F09"/>
    <w:rsid w:val="4E30647F"/>
    <w:rsid w:val="4E3F436F"/>
    <w:rsid w:val="4E4C3CAF"/>
    <w:rsid w:val="4E4F2BB1"/>
    <w:rsid w:val="4E5B67ED"/>
    <w:rsid w:val="4E781A6D"/>
    <w:rsid w:val="4E860405"/>
    <w:rsid w:val="4E9E11E7"/>
    <w:rsid w:val="4ECD42A6"/>
    <w:rsid w:val="4F110F74"/>
    <w:rsid w:val="4F65147F"/>
    <w:rsid w:val="4F816C3D"/>
    <w:rsid w:val="4F9C201E"/>
    <w:rsid w:val="4FA41A97"/>
    <w:rsid w:val="4FCA3263"/>
    <w:rsid w:val="4FDA55FA"/>
    <w:rsid w:val="50132DE8"/>
    <w:rsid w:val="504520C2"/>
    <w:rsid w:val="50991EB4"/>
    <w:rsid w:val="50B269BB"/>
    <w:rsid w:val="51962E85"/>
    <w:rsid w:val="51E83CED"/>
    <w:rsid w:val="52115C21"/>
    <w:rsid w:val="52B1342E"/>
    <w:rsid w:val="52BF6D18"/>
    <w:rsid w:val="52F452B5"/>
    <w:rsid w:val="53241512"/>
    <w:rsid w:val="53383B58"/>
    <w:rsid w:val="535B1F5C"/>
    <w:rsid w:val="538248E0"/>
    <w:rsid w:val="53B4482E"/>
    <w:rsid w:val="541840E5"/>
    <w:rsid w:val="54236568"/>
    <w:rsid w:val="54821832"/>
    <w:rsid w:val="54832A5E"/>
    <w:rsid w:val="54893AE9"/>
    <w:rsid w:val="549107FA"/>
    <w:rsid w:val="54DA7694"/>
    <w:rsid w:val="5503477C"/>
    <w:rsid w:val="551049C4"/>
    <w:rsid w:val="55307BDD"/>
    <w:rsid w:val="55420442"/>
    <w:rsid w:val="554B5F77"/>
    <w:rsid w:val="55631F56"/>
    <w:rsid w:val="556C78BB"/>
    <w:rsid w:val="556F33A8"/>
    <w:rsid w:val="5595639B"/>
    <w:rsid w:val="55C63A7D"/>
    <w:rsid w:val="55E67623"/>
    <w:rsid w:val="55EE10FA"/>
    <w:rsid w:val="561F4B37"/>
    <w:rsid w:val="5634357E"/>
    <w:rsid w:val="564B270A"/>
    <w:rsid w:val="56636E33"/>
    <w:rsid w:val="56C55155"/>
    <w:rsid w:val="56DD5606"/>
    <w:rsid w:val="571D246D"/>
    <w:rsid w:val="57346BCD"/>
    <w:rsid w:val="57995168"/>
    <w:rsid w:val="58143E19"/>
    <w:rsid w:val="582C6238"/>
    <w:rsid w:val="58416D8B"/>
    <w:rsid w:val="586A1CD7"/>
    <w:rsid w:val="59517F07"/>
    <w:rsid w:val="599D2B04"/>
    <w:rsid w:val="5A204FD4"/>
    <w:rsid w:val="5A207684"/>
    <w:rsid w:val="5A2A2C31"/>
    <w:rsid w:val="5A316069"/>
    <w:rsid w:val="5A6B123B"/>
    <w:rsid w:val="5A891A28"/>
    <w:rsid w:val="5B4D0F65"/>
    <w:rsid w:val="5B591C8A"/>
    <w:rsid w:val="5B8C7FEF"/>
    <w:rsid w:val="5B980C81"/>
    <w:rsid w:val="5BAB5EA7"/>
    <w:rsid w:val="5BC24DC7"/>
    <w:rsid w:val="5C315E92"/>
    <w:rsid w:val="5C323A53"/>
    <w:rsid w:val="5C632A6E"/>
    <w:rsid w:val="5C831AF8"/>
    <w:rsid w:val="5C9055A8"/>
    <w:rsid w:val="5C985E69"/>
    <w:rsid w:val="5C9A1F8D"/>
    <w:rsid w:val="5CCF6820"/>
    <w:rsid w:val="5CD02BD4"/>
    <w:rsid w:val="5CDC4E4D"/>
    <w:rsid w:val="5D1B18E4"/>
    <w:rsid w:val="5D387DA6"/>
    <w:rsid w:val="5D417521"/>
    <w:rsid w:val="5DA919DD"/>
    <w:rsid w:val="5DD64F60"/>
    <w:rsid w:val="5E106A41"/>
    <w:rsid w:val="5E467412"/>
    <w:rsid w:val="5E730270"/>
    <w:rsid w:val="5EC35297"/>
    <w:rsid w:val="5EE3117E"/>
    <w:rsid w:val="5EE55F98"/>
    <w:rsid w:val="5F1F28FA"/>
    <w:rsid w:val="5F36477F"/>
    <w:rsid w:val="5F532CE4"/>
    <w:rsid w:val="5F8E2585"/>
    <w:rsid w:val="5F915A58"/>
    <w:rsid w:val="5FBA3421"/>
    <w:rsid w:val="5FBE6136"/>
    <w:rsid w:val="6036185C"/>
    <w:rsid w:val="607E48D4"/>
    <w:rsid w:val="60B968ED"/>
    <w:rsid w:val="60BC7F86"/>
    <w:rsid w:val="60EF2FA1"/>
    <w:rsid w:val="611B5045"/>
    <w:rsid w:val="616623D2"/>
    <w:rsid w:val="61745EF8"/>
    <w:rsid w:val="62165B5F"/>
    <w:rsid w:val="62244433"/>
    <w:rsid w:val="62333254"/>
    <w:rsid w:val="623D3563"/>
    <w:rsid w:val="625277FB"/>
    <w:rsid w:val="62570602"/>
    <w:rsid w:val="62FC6602"/>
    <w:rsid w:val="633A0630"/>
    <w:rsid w:val="63813948"/>
    <w:rsid w:val="63C27C17"/>
    <w:rsid w:val="63CD67F3"/>
    <w:rsid w:val="63D85208"/>
    <w:rsid w:val="63DB1494"/>
    <w:rsid w:val="63FD3F61"/>
    <w:rsid w:val="6497089E"/>
    <w:rsid w:val="649C674A"/>
    <w:rsid w:val="64E949A6"/>
    <w:rsid w:val="65013077"/>
    <w:rsid w:val="65266F0D"/>
    <w:rsid w:val="656215E7"/>
    <w:rsid w:val="65767322"/>
    <w:rsid w:val="657F4FBB"/>
    <w:rsid w:val="65BC07E7"/>
    <w:rsid w:val="65FD3DD5"/>
    <w:rsid w:val="66511CF4"/>
    <w:rsid w:val="66A94CB5"/>
    <w:rsid w:val="66C542AE"/>
    <w:rsid w:val="66D5763F"/>
    <w:rsid w:val="675C15DC"/>
    <w:rsid w:val="67645DE4"/>
    <w:rsid w:val="677A3841"/>
    <w:rsid w:val="67D105A3"/>
    <w:rsid w:val="68083D0D"/>
    <w:rsid w:val="68A97F31"/>
    <w:rsid w:val="68EB2CFA"/>
    <w:rsid w:val="692A082A"/>
    <w:rsid w:val="695463B6"/>
    <w:rsid w:val="69864F03"/>
    <w:rsid w:val="699F1DFD"/>
    <w:rsid w:val="69AC0554"/>
    <w:rsid w:val="69C84C43"/>
    <w:rsid w:val="69D57CD8"/>
    <w:rsid w:val="69EA5F26"/>
    <w:rsid w:val="6A254DE8"/>
    <w:rsid w:val="6A2A4DF7"/>
    <w:rsid w:val="6A4B021E"/>
    <w:rsid w:val="6B232A08"/>
    <w:rsid w:val="6B27499D"/>
    <w:rsid w:val="6B76227D"/>
    <w:rsid w:val="6B9560E5"/>
    <w:rsid w:val="6B9857CB"/>
    <w:rsid w:val="6BB8618A"/>
    <w:rsid w:val="6BFC3675"/>
    <w:rsid w:val="6C010791"/>
    <w:rsid w:val="6C723DD7"/>
    <w:rsid w:val="6C967C12"/>
    <w:rsid w:val="6CDB6801"/>
    <w:rsid w:val="6D3D4A10"/>
    <w:rsid w:val="6D4561F5"/>
    <w:rsid w:val="6D5C5831"/>
    <w:rsid w:val="6D5D14C5"/>
    <w:rsid w:val="6D65608B"/>
    <w:rsid w:val="6DCF2F26"/>
    <w:rsid w:val="6DF737EE"/>
    <w:rsid w:val="6E423443"/>
    <w:rsid w:val="6E9D1F61"/>
    <w:rsid w:val="6F4135C4"/>
    <w:rsid w:val="6F414F00"/>
    <w:rsid w:val="6FAF45E1"/>
    <w:rsid w:val="6FD1766A"/>
    <w:rsid w:val="6FF32D3D"/>
    <w:rsid w:val="702934CA"/>
    <w:rsid w:val="70316B18"/>
    <w:rsid w:val="705C4A57"/>
    <w:rsid w:val="707E137E"/>
    <w:rsid w:val="71387A30"/>
    <w:rsid w:val="71F02A9F"/>
    <w:rsid w:val="72223738"/>
    <w:rsid w:val="722244FB"/>
    <w:rsid w:val="72763841"/>
    <w:rsid w:val="729C3655"/>
    <w:rsid w:val="72B3705C"/>
    <w:rsid w:val="72F95ACE"/>
    <w:rsid w:val="734A772C"/>
    <w:rsid w:val="734D7E78"/>
    <w:rsid w:val="73571EA8"/>
    <w:rsid w:val="739C5F9E"/>
    <w:rsid w:val="73C14302"/>
    <w:rsid w:val="73C40128"/>
    <w:rsid w:val="73D0758E"/>
    <w:rsid w:val="73DD02F2"/>
    <w:rsid w:val="741F7825"/>
    <w:rsid w:val="74271096"/>
    <w:rsid w:val="74334EB1"/>
    <w:rsid w:val="74542B14"/>
    <w:rsid w:val="74CC5F67"/>
    <w:rsid w:val="74CD0DFD"/>
    <w:rsid w:val="74E5534B"/>
    <w:rsid w:val="754C34B0"/>
    <w:rsid w:val="7561515F"/>
    <w:rsid w:val="7576479F"/>
    <w:rsid w:val="75F16D01"/>
    <w:rsid w:val="7608007E"/>
    <w:rsid w:val="761E7E04"/>
    <w:rsid w:val="764749E6"/>
    <w:rsid w:val="764828FF"/>
    <w:rsid w:val="767F2D7B"/>
    <w:rsid w:val="768C1331"/>
    <w:rsid w:val="768E5673"/>
    <w:rsid w:val="769F5543"/>
    <w:rsid w:val="769F6C5C"/>
    <w:rsid w:val="76BD2541"/>
    <w:rsid w:val="76F038AB"/>
    <w:rsid w:val="776A3D61"/>
    <w:rsid w:val="776B3887"/>
    <w:rsid w:val="776D3975"/>
    <w:rsid w:val="7797360F"/>
    <w:rsid w:val="779E7670"/>
    <w:rsid w:val="77C178EF"/>
    <w:rsid w:val="77D36057"/>
    <w:rsid w:val="77E45783"/>
    <w:rsid w:val="78565617"/>
    <w:rsid w:val="785C56E3"/>
    <w:rsid w:val="791C6884"/>
    <w:rsid w:val="792E5C00"/>
    <w:rsid w:val="794A52A4"/>
    <w:rsid w:val="7969391B"/>
    <w:rsid w:val="796C7254"/>
    <w:rsid w:val="79B32C78"/>
    <w:rsid w:val="79F10553"/>
    <w:rsid w:val="7A47519B"/>
    <w:rsid w:val="7A5C04AF"/>
    <w:rsid w:val="7AE734A5"/>
    <w:rsid w:val="7CAA4DB8"/>
    <w:rsid w:val="7CF91631"/>
    <w:rsid w:val="7D034BDB"/>
    <w:rsid w:val="7D1E730D"/>
    <w:rsid w:val="7D652E63"/>
    <w:rsid w:val="7DC16A11"/>
    <w:rsid w:val="7DFB703E"/>
    <w:rsid w:val="7E070667"/>
    <w:rsid w:val="7E071239"/>
    <w:rsid w:val="7E56057E"/>
    <w:rsid w:val="7E8222E1"/>
    <w:rsid w:val="7E983ADC"/>
    <w:rsid w:val="7EC96343"/>
    <w:rsid w:val="7ED17E7E"/>
    <w:rsid w:val="7EDD44E8"/>
    <w:rsid w:val="7F113AE3"/>
    <w:rsid w:val="7F38676A"/>
    <w:rsid w:val="7F5B7814"/>
    <w:rsid w:val="7F6E5707"/>
    <w:rsid w:val="7F916C63"/>
    <w:rsid w:val="7FA641C5"/>
    <w:rsid w:val="7FC77389"/>
    <w:rsid w:val="E5767D7A"/>
    <w:rsid w:val="FBDF35D7"/>
    <w:rsid w:val="FFBF39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2"/>
    <w:qFormat/>
    <w:uiPriority w:val="0"/>
    <w:pPr>
      <w:keepNext/>
      <w:keepLines/>
      <w:spacing w:before="340" w:after="330" w:line="576" w:lineRule="auto"/>
      <w:outlineLvl w:val="0"/>
    </w:pPr>
    <w:rPr>
      <w:rFonts w:eastAsia="黑体"/>
      <w:b/>
      <w:kern w:val="44"/>
    </w:rPr>
  </w:style>
  <w:style w:type="paragraph" w:styleId="5">
    <w:name w:val="heading 2"/>
    <w:basedOn w:val="1"/>
    <w:next w:val="1"/>
    <w:link w:val="30"/>
    <w:unhideWhenUsed/>
    <w:qFormat/>
    <w:uiPriority w:val="0"/>
    <w:pPr>
      <w:keepNext/>
      <w:keepLines/>
      <w:spacing w:before="260" w:after="260" w:line="413" w:lineRule="auto"/>
      <w:outlineLvl w:val="1"/>
    </w:pPr>
    <w:rPr>
      <w:rFonts w:ascii="Arial" w:hAnsi="Arial" w:eastAsia="黑体"/>
      <w:b/>
    </w:rPr>
  </w:style>
  <w:style w:type="paragraph" w:styleId="6">
    <w:name w:val="heading 3"/>
    <w:basedOn w:val="1"/>
    <w:next w:val="1"/>
    <w:unhideWhenUsed/>
    <w:qFormat/>
    <w:uiPriority w:val="0"/>
    <w:pPr>
      <w:spacing w:before="75" w:beforeAutospacing="1" w:afterAutospacing="1"/>
      <w:jc w:val="left"/>
      <w:outlineLvl w:val="2"/>
    </w:pPr>
    <w:rPr>
      <w:rFonts w:hint="eastAsia" w:ascii="宋体" w:hAnsi="宋体" w:cs="Times New Roman"/>
      <w:b/>
      <w:kern w:val="0"/>
      <w:sz w:val="32"/>
      <w:szCs w:val="27"/>
    </w:rPr>
  </w:style>
  <w:style w:type="paragraph" w:styleId="7">
    <w:name w:val="heading 4"/>
    <w:basedOn w:val="1"/>
    <w:next w:val="1"/>
    <w:link w:val="31"/>
    <w:unhideWhenUsed/>
    <w:qFormat/>
    <w:uiPriority w:val="0"/>
    <w:pPr>
      <w:keepNext/>
      <w:keepLines/>
      <w:spacing w:before="280" w:after="290" w:line="372" w:lineRule="auto"/>
      <w:ind w:left="640" w:leftChars="200"/>
      <w:outlineLvl w:val="3"/>
    </w:pPr>
    <w:rPr>
      <w:rFonts w:ascii="Arial" w:hAnsi="Arial" w:cs="仿宋_GB2312"/>
      <w:b/>
      <w:sz w:val="32"/>
      <w:szCs w:val="32"/>
    </w:rPr>
  </w:style>
  <w:style w:type="character" w:default="1" w:styleId="26">
    <w:name w:val="Default Paragraph Font"/>
    <w:unhideWhenUsed/>
    <w:qFormat/>
    <w:uiPriority w:val="1"/>
  </w:style>
  <w:style w:type="table" w:default="1" w:styleId="24">
    <w:name w:val="Normal Table"/>
    <w:unhideWhenUsed/>
    <w:qFormat/>
    <w:uiPriority w:val="99"/>
    <w:tblPr>
      <w:tblCellMar>
        <w:top w:w="0" w:type="dxa"/>
        <w:left w:w="108" w:type="dxa"/>
        <w:bottom w:w="0" w:type="dxa"/>
        <w:right w:w="108" w:type="dxa"/>
      </w:tblCellMar>
    </w:tblPr>
  </w:style>
  <w:style w:type="paragraph" w:customStyle="1" w:styleId="2">
    <w:name w:val="Default"/>
    <w:next w:val="3"/>
    <w:qFormat/>
    <w:uiPriority w:val="99"/>
    <w:pPr>
      <w:widowControl w:val="0"/>
      <w:autoSpaceDE w:val="0"/>
      <w:autoSpaceDN w:val="0"/>
      <w:adjustRightInd w:val="0"/>
    </w:pPr>
    <w:rPr>
      <w:rFonts w:ascii="宋体" w:hAnsi="Times New Roman" w:eastAsia="宋体" w:cs="Times New Roman"/>
      <w:color w:val="000000"/>
      <w:sz w:val="24"/>
      <w:szCs w:val="22"/>
      <w:lang w:val="en-US" w:eastAsia="zh-CN" w:bidi="ar-SA"/>
    </w:rPr>
  </w:style>
  <w:style w:type="paragraph" w:styleId="3">
    <w:name w:val="header"/>
    <w:basedOn w:val="1"/>
    <w:next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Indent"/>
    <w:qFormat/>
    <w:uiPriority w:val="0"/>
    <w:pPr>
      <w:widowControl w:val="0"/>
      <w:ind w:firstLine="420" w:firstLineChars="200"/>
      <w:jc w:val="both"/>
    </w:pPr>
    <w:rPr>
      <w:rFonts w:ascii="仿宋_GB2312" w:eastAsia="仿宋_GB2312" w:hAnsiTheme="minorHAnsi" w:cstheme="minorBidi"/>
      <w:kern w:val="2"/>
      <w:sz w:val="30"/>
      <w:szCs w:val="30"/>
      <w:lang w:val="en-US" w:eastAsia="zh-CN" w:bidi="ar-SA"/>
    </w:rPr>
  </w:style>
  <w:style w:type="paragraph" w:styleId="9">
    <w:name w:val="annotation text"/>
    <w:link w:val="38"/>
    <w:qFormat/>
    <w:uiPriority w:val="0"/>
    <w:pPr>
      <w:widowControl w:val="0"/>
    </w:pPr>
    <w:rPr>
      <w:rFonts w:asciiTheme="minorHAnsi" w:hAnsiTheme="minorHAnsi" w:eastAsiaTheme="minorEastAsia" w:cstheme="minorBidi"/>
      <w:kern w:val="2"/>
      <w:sz w:val="21"/>
      <w:szCs w:val="24"/>
      <w:lang w:val="en-US" w:eastAsia="zh-CN" w:bidi="ar-SA"/>
    </w:rPr>
  </w:style>
  <w:style w:type="paragraph" w:styleId="10">
    <w:name w:val="Salutation"/>
    <w:basedOn w:val="1"/>
    <w:next w:val="1"/>
    <w:qFormat/>
    <w:uiPriority w:val="0"/>
  </w:style>
  <w:style w:type="paragraph" w:styleId="11">
    <w:name w:val="Body Text"/>
    <w:basedOn w:val="1"/>
    <w:next w:val="10"/>
    <w:unhideWhenUsed/>
    <w:qFormat/>
    <w:uiPriority w:val="99"/>
    <w:pPr>
      <w:spacing w:before="100" w:beforeAutospacing="1" w:after="120"/>
    </w:pPr>
  </w:style>
  <w:style w:type="paragraph" w:styleId="12">
    <w:name w:val="Body Text Indent"/>
    <w:basedOn w:val="1"/>
    <w:next w:val="13"/>
    <w:qFormat/>
    <w:uiPriority w:val="0"/>
    <w:pPr>
      <w:spacing w:after="120"/>
      <w:ind w:left="420" w:leftChars="200"/>
    </w:pPr>
  </w:style>
  <w:style w:type="paragraph" w:styleId="13">
    <w:name w:val="envelope return"/>
    <w:basedOn w:val="1"/>
    <w:qFormat/>
    <w:uiPriority w:val="0"/>
    <w:pPr>
      <w:snapToGrid w:val="0"/>
    </w:pPr>
    <w:rPr>
      <w:rFonts w:ascii="Arial" w:hAnsi="Arial"/>
    </w:rPr>
  </w:style>
  <w:style w:type="paragraph" w:styleId="14">
    <w:name w:val="Body Text Indent 2"/>
    <w:basedOn w:val="1"/>
    <w:next w:val="1"/>
    <w:qFormat/>
    <w:uiPriority w:val="0"/>
    <w:pPr>
      <w:spacing w:after="120" w:line="480" w:lineRule="auto"/>
      <w:ind w:left="420" w:leftChars="200" w:firstLine="803" w:firstLineChars="200"/>
    </w:pPr>
    <w:rPr>
      <w:rFonts w:ascii="Times New Roman" w:hAnsi="Times New Roman" w:eastAsia="仿宋_GB2312" w:cs="Times New Roman"/>
      <w:sz w:val="32"/>
    </w:rPr>
  </w:style>
  <w:style w:type="paragraph" w:styleId="15">
    <w:name w:val="Balloon Text"/>
    <w:basedOn w:val="1"/>
    <w:link w:val="40"/>
    <w:qFormat/>
    <w:uiPriority w:val="0"/>
    <w:rPr>
      <w:sz w:val="18"/>
      <w:szCs w:val="18"/>
    </w:rPr>
  </w:style>
  <w:style w:type="paragraph" w:styleId="16">
    <w:name w:val="footer"/>
    <w:basedOn w:val="1"/>
    <w:qFormat/>
    <w:uiPriority w:val="99"/>
    <w:pPr>
      <w:tabs>
        <w:tab w:val="center" w:pos="4153"/>
        <w:tab w:val="right" w:pos="8306"/>
      </w:tabs>
      <w:snapToGrid w:val="0"/>
      <w:jc w:val="left"/>
    </w:pPr>
    <w:rPr>
      <w:sz w:val="18"/>
    </w:rPr>
  </w:style>
  <w:style w:type="paragraph" w:styleId="17">
    <w:name w:val="toc 1"/>
    <w:basedOn w:val="1"/>
    <w:next w:val="1"/>
    <w:qFormat/>
    <w:uiPriority w:val="0"/>
    <w:rPr>
      <w:rFonts w:cs="仿宋_GB2312"/>
      <w:szCs w:val="32"/>
    </w:rPr>
  </w:style>
  <w:style w:type="paragraph" w:styleId="18">
    <w:name w:val="footnote text"/>
    <w:basedOn w:val="1"/>
    <w:qFormat/>
    <w:uiPriority w:val="0"/>
    <w:pPr>
      <w:snapToGrid w:val="0"/>
      <w:jc w:val="left"/>
    </w:pPr>
    <w:rPr>
      <w:sz w:val="18"/>
    </w:rPr>
  </w:style>
  <w:style w:type="paragraph" w:styleId="19">
    <w:name w:val="toc 2"/>
    <w:next w:val="1"/>
    <w:qFormat/>
    <w:uiPriority w:val="0"/>
    <w:pPr>
      <w:widowControl w:val="0"/>
      <w:ind w:left="420" w:leftChars="200"/>
      <w:jc w:val="both"/>
    </w:pPr>
    <w:rPr>
      <w:rFonts w:asciiTheme="minorHAnsi" w:hAnsiTheme="minorHAnsi" w:eastAsiaTheme="minorEastAsia" w:cstheme="minorBidi"/>
      <w:kern w:val="2"/>
      <w:sz w:val="21"/>
      <w:szCs w:val="24"/>
      <w:lang w:val="en-US" w:eastAsia="zh-CN" w:bidi="ar-SA"/>
    </w:rPr>
  </w:style>
  <w:style w:type="paragraph" w:styleId="20">
    <w:name w:val="Normal (Web)"/>
    <w:basedOn w:val="1"/>
    <w:qFormat/>
    <w:uiPriority w:val="0"/>
    <w:pPr>
      <w:jc w:val="left"/>
    </w:pPr>
    <w:rPr>
      <w:rFonts w:cs="Times New Roman"/>
      <w:kern w:val="0"/>
      <w:sz w:val="24"/>
    </w:rPr>
  </w:style>
  <w:style w:type="paragraph" w:styleId="21">
    <w:name w:val="annotation subject"/>
    <w:basedOn w:val="9"/>
    <w:next w:val="9"/>
    <w:link w:val="39"/>
    <w:qFormat/>
    <w:uiPriority w:val="0"/>
    <w:rPr>
      <w:b/>
      <w:bCs/>
    </w:rPr>
  </w:style>
  <w:style w:type="paragraph" w:styleId="22">
    <w:name w:val="Body Text First Indent"/>
    <w:basedOn w:val="11"/>
    <w:qFormat/>
    <w:uiPriority w:val="0"/>
    <w:pPr>
      <w:spacing w:before="0"/>
      <w:ind w:firstLine="420" w:firstLineChars="100"/>
    </w:pPr>
    <w:rPr>
      <w:rFonts w:ascii="Times New Roman" w:hAnsi="Times New Roman"/>
      <w:szCs w:val="24"/>
    </w:rPr>
  </w:style>
  <w:style w:type="paragraph" w:styleId="23">
    <w:name w:val="Body Text First Indent 2"/>
    <w:basedOn w:val="12"/>
    <w:qFormat/>
    <w:uiPriority w:val="0"/>
    <w:pPr>
      <w:ind w:firstLine="420" w:firstLineChars="200"/>
    </w:pPr>
  </w:style>
  <w:style w:type="table" w:styleId="25">
    <w:name w:val="Table Grid"/>
    <w:basedOn w:val="2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Emphasis"/>
    <w:basedOn w:val="26"/>
    <w:qFormat/>
    <w:uiPriority w:val="0"/>
    <w:rPr>
      <w:i/>
    </w:rPr>
  </w:style>
  <w:style w:type="character" w:styleId="28">
    <w:name w:val="annotation reference"/>
    <w:qFormat/>
    <w:uiPriority w:val="0"/>
    <w:rPr>
      <w:sz w:val="21"/>
      <w:szCs w:val="21"/>
    </w:rPr>
  </w:style>
  <w:style w:type="character" w:styleId="29">
    <w:name w:val="footnote reference"/>
    <w:basedOn w:val="26"/>
    <w:qFormat/>
    <w:uiPriority w:val="0"/>
    <w:rPr>
      <w:vertAlign w:val="superscript"/>
    </w:rPr>
  </w:style>
  <w:style w:type="character" w:customStyle="1" w:styleId="30">
    <w:name w:val="标题 2 字符"/>
    <w:link w:val="5"/>
    <w:qFormat/>
    <w:uiPriority w:val="0"/>
    <w:rPr>
      <w:rFonts w:ascii="Arial" w:hAnsi="Arial" w:eastAsia="黑体" w:cs="宋体"/>
      <w:b/>
      <w:bCs/>
      <w:sz w:val="32"/>
      <w:szCs w:val="32"/>
    </w:rPr>
  </w:style>
  <w:style w:type="character" w:customStyle="1" w:styleId="31">
    <w:name w:val="标题 4 字符"/>
    <w:link w:val="7"/>
    <w:qFormat/>
    <w:uiPriority w:val="0"/>
    <w:rPr>
      <w:rFonts w:ascii="Arial" w:hAnsi="Arial" w:eastAsia="仿宋_GB2312" w:cs="仿宋_GB2312"/>
      <w:b/>
      <w:color w:val="auto"/>
      <w:sz w:val="32"/>
      <w:szCs w:val="32"/>
    </w:rPr>
  </w:style>
  <w:style w:type="character" w:customStyle="1" w:styleId="32">
    <w:name w:val="标题 1 字符"/>
    <w:link w:val="4"/>
    <w:qFormat/>
    <w:uiPriority w:val="0"/>
    <w:rPr>
      <w:rFonts w:ascii="宋体" w:hAnsi="宋体" w:eastAsia="黑体" w:cs="宋体"/>
      <w:b/>
      <w:bCs/>
      <w:kern w:val="44"/>
      <w:sz w:val="32"/>
      <w:szCs w:val="44"/>
    </w:rPr>
  </w:style>
  <w:style w:type="paragraph" w:customStyle="1" w:styleId="33">
    <w:name w:val="NormalIndent"/>
    <w:qFormat/>
    <w:uiPriority w:val="0"/>
    <w:pPr>
      <w:widowControl w:val="0"/>
      <w:ind w:firstLine="420" w:firstLineChars="200"/>
      <w:jc w:val="both"/>
      <w:textAlignment w:val="baseline"/>
    </w:pPr>
    <w:rPr>
      <w:rFonts w:asciiTheme="minorHAnsi" w:hAnsiTheme="minorHAnsi" w:eastAsiaTheme="minorEastAsia" w:cstheme="minorBidi"/>
      <w:kern w:val="2"/>
      <w:sz w:val="21"/>
      <w:szCs w:val="24"/>
      <w:lang w:val="en-US" w:eastAsia="zh-CN" w:bidi="ar-SA"/>
    </w:rPr>
  </w:style>
  <w:style w:type="character" w:customStyle="1" w:styleId="34">
    <w:name w:val="fontstyle01"/>
    <w:qFormat/>
    <w:uiPriority w:val="0"/>
    <w:rPr>
      <w:rFonts w:hint="eastAsia" w:ascii="仿宋_GB2312" w:eastAsia="仿宋_GB2312"/>
      <w:color w:val="000000"/>
      <w:sz w:val="32"/>
      <w:szCs w:val="32"/>
    </w:rPr>
  </w:style>
  <w:style w:type="paragraph" w:customStyle="1" w:styleId="35">
    <w:name w:val="Body text|1"/>
    <w:basedOn w:val="1"/>
    <w:qFormat/>
    <w:uiPriority w:val="0"/>
    <w:pPr>
      <w:spacing w:line="410" w:lineRule="auto"/>
      <w:ind w:firstLine="400"/>
    </w:pPr>
    <w:rPr>
      <w:rFonts w:ascii="宋体" w:hAnsi="宋体" w:eastAsia="宋体" w:cs="宋体"/>
      <w:sz w:val="30"/>
      <w:szCs w:val="30"/>
      <w:lang w:val="zh-TW" w:eastAsia="zh-TW" w:bidi="zh-TW"/>
    </w:rPr>
  </w:style>
  <w:style w:type="character" w:customStyle="1" w:styleId="36">
    <w:name w:val="NormalCharacter"/>
    <w:qFormat/>
    <w:uiPriority w:val="0"/>
  </w:style>
  <w:style w:type="character" w:customStyle="1" w:styleId="37">
    <w:name w:val="font11"/>
    <w:basedOn w:val="26"/>
    <w:qFormat/>
    <w:uiPriority w:val="0"/>
    <w:rPr>
      <w:rFonts w:hint="eastAsia" w:ascii="宋体" w:hAnsi="宋体" w:eastAsia="宋体" w:cs="宋体"/>
      <w:color w:val="000000"/>
      <w:sz w:val="20"/>
      <w:szCs w:val="20"/>
      <w:u w:val="none"/>
    </w:rPr>
  </w:style>
  <w:style w:type="character" w:customStyle="1" w:styleId="38">
    <w:name w:val="批注文字 字符"/>
    <w:basedOn w:val="26"/>
    <w:link w:val="9"/>
    <w:qFormat/>
    <w:uiPriority w:val="0"/>
    <w:rPr>
      <w:rFonts w:asciiTheme="minorHAnsi" w:hAnsiTheme="minorHAnsi" w:eastAsiaTheme="minorEastAsia" w:cstheme="minorBidi"/>
      <w:kern w:val="2"/>
      <w:sz w:val="21"/>
      <w:szCs w:val="24"/>
    </w:rPr>
  </w:style>
  <w:style w:type="character" w:customStyle="1" w:styleId="39">
    <w:name w:val="批注主题 字符"/>
    <w:basedOn w:val="38"/>
    <w:link w:val="21"/>
    <w:qFormat/>
    <w:uiPriority w:val="0"/>
    <w:rPr>
      <w:rFonts w:asciiTheme="minorHAnsi" w:hAnsiTheme="minorHAnsi" w:eastAsiaTheme="minorEastAsia" w:cstheme="minorBidi"/>
      <w:b/>
      <w:bCs/>
      <w:kern w:val="2"/>
      <w:sz w:val="21"/>
      <w:szCs w:val="24"/>
    </w:rPr>
  </w:style>
  <w:style w:type="character" w:customStyle="1" w:styleId="40">
    <w:name w:val="批注框文本 字符"/>
    <w:basedOn w:val="26"/>
    <w:link w:val="15"/>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7.jpeg"/><Relationship Id="rId16" Type="http://schemas.openxmlformats.org/officeDocument/2006/relationships/image" Target="media/image6.jpeg"/><Relationship Id="rId15" Type="http://schemas.openxmlformats.org/officeDocument/2006/relationships/image" Target="media/image5.jpeg"/><Relationship Id="rId14" Type="http://schemas.openxmlformats.org/officeDocument/2006/relationships/image" Target="media/image4.jpeg"/><Relationship Id="rId13" Type="http://schemas.openxmlformats.org/officeDocument/2006/relationships/chart" Target="charts/chart1.xml"/><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jpeg"/><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4" Type="http://schemas.microsoft.com/office/2011/relationships/chartColorStyle" Target="colors1.xml"/><Relationship Id="rId3" Type="http://schemas.microsoft.com/office/2011/relationships/chartStyle" Target="style1.xml"/><Relationship Id="rId2" Type="http://schemas.openxmlformats.org/officeDocument/2006/relationships/themeOverride" Target="../theme/themeOverride1.xml"/><Relationship Id="rId1" Type="http://schemas.openxmlformats.org/officeDocument/2006/relationships/oleObject" Target="file:///C:\Users\Administrator.BF-20200330IVTO\Desktop\9.&#38428;&#38451;&#24037;&#19994;&#21313;&#22235;&#20116;-1231\&#24037;&#20316;&#31807;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[工作簿1.xlsx]Sheet3!$B$1</c:f>
              <c:strCache>
                <c:ptCount val="1"/>
                <c:pt idx="0">
                  <c:v>规模以上工业利润（亿元）</c:v>
                </c:pt>
              </c:strCache>
            </c:strRef>
          </c:tx>
          <c:spPr>
            <a:ln w="28575" cap="rnd">
              <a:solidFill>
                <a:srgbClr val="5B9BD5"/>
              </a:solidFill>
              <a:round/>
            </a:ln>
            <a:effectLst/>
          </c:spPr>
          <c:marker>
            <c:symbol val="none"/>
          </c:marker>
          <c:dLbls>
            <c:dLbl>
              <c:idx val="0"/>
              <c:layout>
                <c:manualLayout>
                  <c:x val="-0.0427126802772149"/>
                  <c:y val="0.0410816825562546"/>
                </c:manualLayout>
              </c:layout>
              <c:dLblPos val="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414450236310722"/>
                  <c:y val="0.0101895760639613"/>
                </c:manualLayout>
              </c:layout>
              <c:dLblPos val="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0334118951892416"/>
                  <c:y val="-0.00467071461933676"/>
                </c:manualLayout>
              </c:layout>
              <c:dLblPos val="r"/>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598734085750943"/>
                  <c:y val="0.0471536115613924"/>
                </c:manualLayout>
              </c:layout>
              <c:dLblPos val="r"/>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0.0248098515030786"/>
                  <c:y val="0.00382352941176471"/>
                </c:manualLayout>
              </c:layout>
              <c:dLblPos val="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ysClr val="windowText" lastClr="000000">
                        <a:lumMod val="75000"/>
                        <a:lumOff val="25000"/>
                      </a:sysClr>
                    </a:solidFill>
                    <a:latin typeface="+mn-lt"/>
                    <a:ea typeface="+mn-ea"/>
                    <a:cs typeface="+mn-cs"/>
                  </a:defRPr>
                </a:pPr>
              </a:p>
            </c:txPr>
            <c:dLblPos val="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ysClr val="windowText" lastClr="000000">
                          <a:lumMod val="35000"/>
                          <a:lumOff val="65000"/>
                        </a:sysClr>
                      </a:solidFill>
                      <a:round/>
                    </a:ln>
                    <a:effectLst/>
                  </c:spPr>
                </c15:leaderLines>
              </c:ext>
            </c:extLst>
          </c:dLbls>
          <c:cat>
            <c:strRef>
              <c:f>[工作簿1.xlsx]Sheet3!$A$2:$A$6</c:f>
              <c:strCache>
                <c:ptCount val="5"/>
                <c:pt idx="0">
                  <c:v>2016年</c:v>
                </c:pt>
                <c:pt idx="1">
                  <c:v>2017年</c:v>
                </c:pt>
                <c:pt idx="2">
                  <c:v>2018年</c:v>
                </c:pt>
                <c:pt idx="3">
                  <c:v>2019年</c:v>
                </c:pt>
                <c:pt idx="4">
                  <c:v>2020年</c:v>
                </c:pt>
              </c:strCache>
            </c:strRef>
          </c:cat>
          <c:val>
            <c:numRef>
              <c:f>[工作簿1.xlsx]Sheet3!$B$2:$B$6</c:f>
              <c:numCache>
                <c:formatCode>General</c:formatCode>
                <c:ptCount val="5"/>
                <c:pt idx="0">
                  <c:v>109.56</c:v>
                </c:pt>
                <c:pt idx="1">
                  <c:v>120.46</c:v>
                </c:pt>
                <c:pt idx="2">
                  <c:v>192.23</c:v>
                </c:pt>
                <c:pt idx="3">
                  <c:v>151.76</c:v>
                </c:pt>
                <c:pt idx="4">
                  <c:v>125.3</c:v>
                </c:pt>
              </c:numCache>
            </c:numRef>
          </c:val>
          <c:smooth val="0"/>
        </c:ser>
        <c:dLbls>
          <c:showLegendKey val="0"/>
          <c:showVal val="1"/>
          <c:showCatName val="0"/>
          <c:showSerName val="0"/>
          <c:showPercent val="0"/>
          <c:showBubbleSize val="0"/>
        </c:dLbls>
        <c:marker val="0"/>
        <c:smooth val="0"/>
        <c:axId val="472346096"/>
        <c:axId val="510986083"/>
      </c:lineChart>
      <c:catAx>
        <c:axId val="472346096"/>
        <c:scaling>
          <c:orientation val="minMax"/>
        </c:scaling>
        <c:delete val="0"/>
        <c:axPos val="b"/>
        <c:numFmt formatCode="General" sourceLinked="0"/>
        <c:majorTickMark val="none"/>
        <c:minorTickMark val="none"/>
        <c:tickLblPos val="nextTo"/>
        <c:spPr>
          <a:noFill/>
          <a:ln w="9525" cap="flat" cmpd="sng" algn="ctr">
            <a:solidFill>
              <a:sysClr val="windowText" lastClr="000000">
                <a:lumMod val="15000"/>
                <a:lumOff val="85000"/>
              </a:sysClr>
            </a:solidFill>
            <a:round/>
          </a:ln>
          <a:effectLst/>
        </c:spPr>
        <c:txPr>
          <a:bodyPr rot="-60000000" spcFirstLastPara="0" vertOverflow="ellipsis" vert="horz" wrap="square" anchor="ctr" anchorCtr="1"/>
          <a:lstStyle/>
          <a:p>
            <a:pPr>
              <a:defRPr lang="zh-CN" sz="900" b="0" i="0" u="none" strike="noStrike" kern="1200" baseline="0">
                <a:solidFill>
                  <a:sysClr val="windowText" lastClr="000000">
                    <a:lumMod val="65000"/>
                    <a:lumOff val="35000"/>
                  </a:sysClr>
                </a:solidFill>
                <a:latin typeface="+mn-lt"/>
                <a:ea typeface="+mn-ea"/>
                <a:cs typeface="+mn-cs"/>
              </a:defRPr>
            </a:pPr>
          </a:p>
        </c:txPr>
        <c:crossAx val="510986083"/>
        <c:crosses val="autoZero"/>
        <c:auto val="1"/>
        <c:lblAlgn val="ctr"/>
        <c:lblOffset val="100"/>
        <c:noMultiLvlLbl val="0"/>
      </c:catAx>
      <c:valAx>
        <c:axId val="510986083"/>
        <c:scaling>
          <c:orientation val="minMax"/>
          <c:min val="80"/>
        </c:scaling>
        <c:delete val="0"/>
        <c:axPos val="l"/>
        <c:majorGridlines>
          <c:spPr>
            <a:ln w="9525" cap="flat" cmpd="sng" algn="ctr">
              <a:solidFill>
                <a:sysClr val="windowText" lastClr="000000">
                  <a:lumMod val="15000"/>
                  <a:lumOff val="85000"/>
                </a:sys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ysClr val="windowText" lastClr="000000">
                    <a:lumMod val="65000"/>
                    <a:lumOff val="35000"/>
                  </a:sysClr>
                </a:solidFill>
                <a:latin typeface="+mn-lt"/>
                <a:ea typeface="+mn-ea"/>
                <a:cs typeface="+mn-cs"/>
              </a:defRPr>
            </a:pPr>
          </a:p>
        </c:txPr>
        <c:crossAx val="472346096"/>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ysClr val="windowText" lastClr="000000">
                  <a:lumMod val="65000"/>
                  <a:lumOff val="35000"/>
                </a:sysClr>
              </a:solidFill>
              <a:latin typeface="+mn-lt"/>
              <a:ea typeface="+mn-ea"/>
              <a:cs typeface="+mn-cs"/>
            </a:defRPr>
          </a:pPr>
        </a:p>
      </c:txPr>
    </c:legend>
    <c:plotVisOnly val="1"/>
    <c:dispBlanksAs val="gap"/>
    <c:showDLblsOverMax val="0"/>
    <c:extLst>
      <c:ext uri="{0b15fc19-7d7d-44ad-8c2d-2c3a37ce22c3}">
        <chartProps xmlns="https://web.wps.cn/et/2018/main" chartId="{896a25d4-cf48-4380-985f-f1eaafe62e57}"/>
      </c:ext>
    </c:extLst>
  </c:chart>
  <c:spPr>
    <a:solidFill>
      <a:sysClr val="window" lastClr="FFFFFF"/>
    </a:solidFill>
    <a:ln w="9525" cap="flat" cmpd="sng" algn="ctr">
      <a:solidFill>
        <a:sysClr val="windowText" lastClr="000000">
          <a:lumMod val="15000"/>
          <a:lumOff val="85000"/>
        </a:sys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ysClr val="windowText" lastClr="000000">
        <a:lumMod val="65000"/>
        <a:lumOff val="35000"/>
      </a:sysClr>
    </cs:fontRef>
    <cs:defRPr sz="1000" kern="1200"/>
  </cs:axisTitle>
  <cs:categoryAxis>
    <cs:lnRef idx="0"/>
    <cs:fillRef idx="0"/>
    <cs:effectRef idx="0"/>
    <cs:fontRef idx="minor">
      <a:sysClr val="windowText" lastClr="000000">
        <a:lumMod val="65000"/>
        <a:lumOff val="35000"/>
      </a:sysClr>
    </cs:fontRef>
    <cs:spPr>
      <a:ln w="9525" cap="flat" cmpd="sng" algn="ctr">
        <a:solidFill>
          <a:sysClr val="windowText" lastClr="000000">
            <a:lumMod val="15000"/>
            <a:lumOff val="85000"/>
          </a:sysClr>
        </a:solidFill>
        <a:round/>
      </a:ln>
    </cs:spPr>
    <cs:defRPr sz="900" kern="1200"/>
  </cs:categoryAxis>
  <cs:chartArea mods="allowNoFillOverride allowNoLineOverride">
    <cs:lnRef idx="0"/>
    <cs:fillRef idx="0"/>
    <cs:effectRef idx="0"/>
    <cs:fontRef idx="minor">
      <a:sysClr val="windowText" lastClr="000000"/>
    </cs:fontRef>
    <cs:spPr>
      <a:solidFill>
        <a:sysClr val="window" lastClr="FFFFFF"/>
      </a:solidFill>
      <a:ln w="9525" cap="flat" cmpd="sng" algn="ctr">
        <a:solidFill>
          <a:sysClr val="windowText" lastClr="000000">
            <a:lumMod val="15000"/>
            <a:lumOff val="85000"/>
          </a:sysClr>
        </a:solidFill>
        <a:round/>
      </a:ln>
    </cs:spPr>
    <cs:defRPr sz="1000" kern="1200"/>
  </cs:chartArea>
  <cs:dataLabel>
    <cs:lnRef idx="0"/>
    <cs:fillRef idx="0"/>
    <cs:effectRef idx="0"/>
    <cs:fontRef idx="minor">
      <a:sysClr val="windowText" lastClr="000000">
        <a:lumMod val="75000"/>
        <a:lumOff val="25000"/>
      </a:sysClr>
    </cs:fontRef>
    <cs:defRPr sz="900" kern="1200"/>
  </cs:dataLabel>
  <cs:dataLabelCallout>
    <cs:lnRef idx="0"/>
    <cs:fillRef idx="0"/>
    <cs:effectRef idx="0"/>
    <cs:fontRef idx="minor">
      <a:sysClr val="windowText" lastClr="000000">
        <a:lumMod val="65000"/>
        <a:lumOff val="35000"/>
      </a:sysClr>
    </cs:fontRef>
    <cs:spPr>
      <a:solidFill>
        <a:sysClr val="window" lastClr="FFFFFF"/>
      </a:solidFill>
      <a:ln>
        <a:solidFill>
          <a:sysClr val="windowText" lastClr="000000">
            <a:lumMod val="25000"/>
            <a:lumOff val="75000"/>
          </a:sys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ysClr val="windowText" lastClr="000000"/>
    </cs:fontRef>
    <cs:spPr>
      <a:solidFill>
        <a:schemeClr val="phClr"/>
      </a:solidFill>
    </cs:spPr>
  </cs:dataPoint>
  <cs:dataPoint3D>
    <cs:lnRef idx="0"/>
    <cs:fillRef idx="1">
      <cs:styleClr val="auto"/>
    </cs:fillRef>
    <cs:effectRef idx="0"/>
    <cs:fontRef idx="minor">
      <a:sysClr val="windowText" lastClr="000000"/>
    </cs:fontRef>
    <cs:spPr>
      <a:solidFill>
        <a:schemeClr val="phClr"/>
      </a:solidFill>
    </cs:spPr>
  </cs:dataPoint3D>
  <cs:dataPointLine>
    <cs:lnRef idx="0">
      <cs:styleClr val="auto"/>
    </cs:lnRef>
    <cs:fillRef idx="1"/>
    <cs:effectRef idx="0"/>
    <cs:fontRef idx="minor">
      <a:sysClr val="windowText" lastClr="000000"/>
    </cs:fontRef>
    <cs:spPr>
      <a:ln w="28575" cap="rnd">
        <a:solidFill>
          <a:schemeClr val="phClr"/>
        </a:solidFill>
        <a:round/>
      </a:ln>
    </cs:spPr>
  </cs:dataPointLine>
  <cs:dataPointMarker>
    <cs:lnRef idx="0">
      <cs:styleClr val="auto"/>
    </cs:lnRef>
    <cs:fillRef idx="1">
      <cs:styleClr val="auto"/>
    </cs:fillRef>
    <cs:effectRef idx="0"/>
    <cs:fontRef idx="minor">
      <a:sysClr val="windowText" lastClr="000000"/>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ysClr val="windowText" lastClr="000000"/>
    </cs:fontRef>
    <cs:spPr>
      <a:ln w="9525" cap="rnd">
        <a:solidFill>
          <a:schemeClr val="phClr"/>
        </a:solidFill>
        <a:round/>
      </a:ln>
    </cs:spPr>
  </cs:dataPointWireframe>
  <cs:dataTable>
    <cs:lnRef idx="0"/>
    <cs:fillRef idx="0"/>
    <cs:effectRef idx="0"/>
    <cs:fontRef idx="minor">
      <a:sysClr val="windowText" lastClr="000000">
        <a:lumMod val="65000"/>
        <a:lumOff val="35000"/>
      </a:sysClr>
    </cs:fontRef>
    <cs:spPr>
      <a:noFill/>
      <a:ln w="9525" cap="flat" cmpd="sng" algn="ctr">
        <a:solidFill>
          <a:sysClr val="windowText" lastClr="000000">
            <a:lumMod val="15000"/>
            <a:lumOff val="85000"/>
          </a:sysClr>
        </a:solidFill>
        <a:round/>
      </a:ln>
    </cs:spPr>
    <cs:defRPr sz="900" kern="1200"/>
  </cs:dataTable>
  <cs:downBar>
    <cs:lnRef idx="0"/>
    <cs:fillRef idx="0"/>
    <cs:effectRef idx="0"/>
    <cs:fontRef idx="minor">
      <a:sysClr val="windowText" lastClr="000000"/>
    </cs:fontRef>
    <cs:spPr>
      <a:solidFill>
        <a:sysClr val="windowText" lastClr="000000">
          <a:lumMod val="65000"/>
          <a:lumOff val="35000"/>
        </a:sysClr>
      </a:solidFill>
      <a:ln w="9525">
        <a:solidFill>
          <a:sysClr val="windowText" lastClr="000000">
            <a:lumMod val="65000"/>
            <a:lumOff val="35000"/>
          </a:sysClr>
        </a:solidFill>
      </a:ln>
    </cs:spPr>
  </cs:downBar>
  <cs:dropLine>
    <cs:lnRef idx="0"/>
    <cs:fillRef idx="0"/>
    <cs:effectRef idx="0"/>
    <cs:fontRef idx="minor">
      <a:sysClr val="windowText" lastClr="000000"/>
    </cs:fontRef>
    <cs:spPr>
      <a:ln w="9525" cap="flat" cmpd="sng" algn="ctr">
        <a:solidFill>
          <a:sysClr val="windowText" lastClr="000000">
            <a:lumMod val="35000"/>
            <a:lumOff val="65000"/>
          </a:sysClr>
        </a:solidFill>
        <a:round/>
      </a:ln>
    </cs:spPr>
  </cs:dropLine>
  <cs:errorBar>
    <cs:lnRef idx="0"/>
    <cs:fillRef idx="0"/>
    <cs:effectRef idx="0"/>
    <cs:fontRef idx="minor">
      <a:sysClr val="windowText" lastClr="000000"/>
    </cs:fontRef>
    <cs:spPr>
      <a:ln w="9525" cap="flat" cmpd="sng" algn="ctr">
        <a:solidFill>
          <a:sysClr val="windowText" lastClr="000000">
            <a:lumMod val="65000"/>
            <a:lumOff val="35000"/>
          </a:sysClr>
        </a:solidFill>
        <a:round/>
      </a:ln>
    </cs:spPr>
  </cs:errorBar>
  <cs:floor>
    <cs:lnRef idx="0"/>
    <cs:fillRef idx="0"/>
    <cs:effectRef idx="0"/>
    <cs:fontRef idx="minor">
      <a:sysClr val="windowText" lastClr="000000"/>
    </cs:fontRef>
    <cs:spPr>
      <a:noFill/>
      <a:ln>
        <a:noFill/>
      </a:ln>
    </cs:spPr>
  </cs:floor>
  <cs:gridlineMajor>
    <cs:lnRef idx="0"/>
    <cs:fillRef idx="0"/>
    <cs:effectRef idx="0"/>
    <cs:fontRef idx="minor">
      <a:sysClr val="windowText" lastClr="000000"/>
    </cs:fontRef>
    <cs:spPr>
      <a:ln w="9525" cap="flat" cmpd="sng" algn="ctr">
        <a:solidFill>
          <a:sysClr val="windowText" lastClr="000000">
            <a:lumMod val="15000"/>
            <a:lumOff val="85000"/>
          </a:sysClr>
        </a:solidFill>
        <a:round/>
      </a:ln>
    </cs:spPr>
  </cs:gridlineMajor>
  <cs:gridlineMinor>
    <cs:lnRef idx="0"/>
    <cs:fillRef idx="0"/>
    <cs:effectRef idx="0"/>
    <cs:fontRef idx="minor">
      <a:sysClr val="windowText" lastClr="000000"/>
    </cs:fontRef>
    <cs:spPr>
      <a:ln w="9525" cap="flat" cmpd="sng" algn="ctr">
        <a:solidFill>
          <a:sysClr val="windowText" lastClr="000000">
            <a:lumMod val="5000"/>
            <a:lumOff val="95000"/>
          </a:sysClr>
        </a:solidFill>
        <a:round/>
      </a:ln>
    </cs:spPr>
  </cs:gridlineMinor>
  <cs:hiLoLine>
    <cs:lnRef idx="0"/>
    <cs:fillRef idx="0"/>
    <cs:effectRef idx="0"/>
    <cs:fontRef idx="minor">
      <a:sysClr val="windowText" lastClr="000000"/>
    </cs:fontRef>
    <cs:spPr>
      <a:ln w="9525" cap="flat" cmpd="sng" algn="ctr">
        <a:solidFill>
          <a:sysClr val="windowText" lastClr="000000">
            <a:lumMod val="75000"/>
            <a:lumOff val="25000"/>
          </a:sysClr>
        </a:solidFill>
        <a:round/>
      </a:ln>
    </cs:spPr>
  </cs:hiLoLine>
  <cs:leaderLine>
    <cs:lnRef idx="0"/>
    <cs:fillRef idx="0"/>
    <cs:effectRef idx="0"/>
    <cs:fontRef idx="minor">
      <a:sysClr val="windowText" lastClr="000000"/>
    </cs:fontRef>
    <cs:spPr>
      <a:ln w="9525" cap="flat" cmpd="sng" algn="ctr">
        <a:solidFill>
          <a:sysClr val="windowText" lastClr="000000">
            <a:lumMod val="35000"/>
            <a:lumOff val="65000"/>
          </a:sysClr>
        </a:solidFill>
        <a:round/>
      </a:ln>
    </cs:spPr>
  </cs:leaderLine>
  <cs:legend>
    <cs:lnRef idx="0"/>
    <cs:fillRef idx="0"/>
    <cs:effectRef idx="0"/>
    <cs:fontRef idx="minor">
      <a:sysClr val="windowText" lastClr="000000">
        <a:lumMod val="65000"/>
        <a:lumOff val="35000"/>
      </a:sysClr>
    </cs:fontRef>
    <cs:defRPr sz="900" kern="1200"/>
  </cs:legend>
  <cs:plotArea mods="allowNoFillOverride allowNoLineOverride">
    <cs:lnRef idx="0"/>
    <cs:fillRef idx="0"/>
    <cs:effectRef idx="0"/>
    <cs:fontRef idx="minor">
      <a:sysClr val="windowText" lastClr="000000"/>
    </cs:fontRef>
  </cs:plotArea>
  <cs:plotArea3D mods="allowNoFillOverride allowNoLineOverride">
    <cs:lnRef idx="0"/>
    <cs:fillRef idx="0"/>
    <cs:effectRef idx="0"/>
    <cs:fontRef idx="minor">
      <a:sysClr val="windowText" lastClr="000000"/>
    </cs:fontRef>
  </cs:plotArea3D>
  <cs:seriesAxis>
    <cs:lnRef idx="0"/>
    <cs:fillRef idx="0"/>
    <cs:effectRef idx="0"/>
    <cs:fontRef idx="minor">
      <a:sysClr val="windowText" lastClr="000000">
        <a:lumMod val="65000"/>
        <a:lumOff val="35000"/>
      </a:sysClr>
    </cs:fontRef>
    <cs:defRPr sz="900" kern="1200"/>
  </cs:seriesAxis>
  <cs:seriesLine>
    <cs:lnRef idx="0"/>
    <cs:fillRef idx="0"/>
    <cs:effectRef idx="0"/>
    <cs:fontRef idx="minor">
      <a:sysClr val="windowText" lastClr="000000"/>
    </cs:fontRef>
    <cs:spPr>
      <a:ln w="9525" cap="flat" cmpd="sng" algn="ctr">
        <a:solidFill>
          <a:sysClr val="windowText" lastClr="000000">
            <a:lumMod val="35000"/>
            <a:lumOff val="65000"/>
          </a:sysClr>
        </a:solidFill>
        <a:round/>
      </a:ln>
    </cs:spPr>
  </cs:seriesLine>
  <cs:title>
    <cs:lnRef idx="0"/>
    <cs:fillRef idx="0"/>
    <cs:effectRef idx="0"/>
    <cs:fontRef idx="minor">
      <a:sysClr val="windowText" lastClr="000000">
        <a:lumMod val="65000"/>
        <a:lumOff val="35000"/>
      </a:sysClr>
    </cs:fontRef>
    <cs:defRPr sz="1400" b="0" kern="1200" spc="0" baseline="0"/>
  </cs:title>
  <cs:trendline>
    <cs:lnRef idx="0">
      <cs:styleClr val="auto"/>
    </cs:lnRef>
    <cs:fillRef idx="0"/>
    <cs:effectRef idx="0"/>
    <cs:fontRef idx="minor">
      <a:sysClr val="windowText" lastClr="000000"/>
    </cs:fontRef>
    <cs:spPr>
      <a:ln w="19050" cap="rnd">
        <a:solidFill>
          <a:schemeClr val="phClr"/>
        </a:solidFill>
        <a:prstDash val="sysDot"/>
      </a:ln>
    </cs:spPr>
  </cs:trendline>
  <cs:trendlineLabel>
    <cs:lnRef idx="0"/>
    <cs:fillRef idx="0"/>
    <cs:effectRef idx="0"/>
    <cs:fontRef idx="minor">
      <a:sysClr val="windowText" lastClr="000000">
        <a:lumMod val="65000"/>
        <a:lumOff val="35000"/>
      </a:sysClr>
    </cs:fontRef>
    <cs:defRPr sz="900" kern="1200"/>
  </cs:trendlineLabel>
  <cs:upBar>
    <cs:lnRef idx="0"/>
    <cs:fillRef idx="0"/>
    <cs:effectRef idx="0"/>
    <cs:fontRef idx="minor">
      <a:sysClr val="windowText" lastClr="000000"/>
    </cs:fontRef>
    <cs:spPr>
      <a:solidFill>
        <a:sysClr val="window" lastClr="FFFFFF"/>
      </a:solidFill>
      <a:ln w="9525">
        <a:solidFill>
          <a:sysClr val="windowText" lastClr="000000">
            <a:lumMod val="15000"/>
            <a:lumOff val="85000"/>
          </a:sysClr>
        </a:solidFill>
      </a:ln>
    </cs:spPr>
  </cs:upBar>
  <cs:valueAxis>
    <cs:lnRef idx="0"/>
    <cs:fillRef idx="0"/>
    <cs:effectRef idx="0"/>
    <cs:fontRef idx="minor">
      <a:sysClr val="windowText" lastClr="000000">
        <a:lumMod val="65000"/>
        <a:lumOff val="35000"/>
      </a:sysClr>
    </cs:fontRef>
    <cs:defRPr sz="900" kern="1200"/>
  </cs:valueAxis>
  <cs:wall>
    <cs:lnRef idx="0"/>
    <cs:fillRef idx="0"/>
    <cs:effectRef idx="0"/>
    <cs:fontRef idx="minor">
      <a:sysClr val="windowText" lastClr="000000"/>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144</Pages>
  <Words>37</Words>
  <Characters>40</Characters>
  <Lines>631</Lines>
  <Paragraphs>177</Paragraphs>
  <TotalTime>7</TotalTime>
  <ScaleCrop>false</ScaleCrop>
  <LinksUpToDate>false</LinksUpToDate>
  <CharactersWithSpaces>42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2021-06-17T23:28:00Z</dcterms:created>
  <dc:creator>点点点点恋歌</dc:creator>
  <cp:lastModifiedBy>zxc</cp:lastModifiedBy>
  <dcterms:modified xsi:type="dcterms:W3CDTF">2026-04-09T06:44:39Z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F51FB8B9C9264F14B1A306E25AE63B6A_13</vt:lpwstr>
  </property>
  <property fmtid="{D5CDD505-2E9C-101B-9397-08002B2CF9AE}" pid="4" name="KSOTemplateDocerSaveRecord">
    <vt:lpwstr>eyJoZGlkIjoiMTE3NjFmMzU5ZGVhMjdlZGVkODgyZDZiMzMxZDYzZDIiLCJ1c2VySWQiOiIyNTg4NjMyOTIifQ==</vt:lpwstr>
  </property>
</Properties>
</file>