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DBDFB">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各县市区（阜阳经开区、阜合产业园区）相关单位：</w:t>
      </w:r>
    </w:p>
    <w:p w14:paraId="306F69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根据国家、省、市关于推动新一轮大规模设备更新决策部署，阜阳市工业和信息化局等三家单位制定了《阜阳市推动工业领域设备更新实施方案》，现印发给你们，请结合实际抓好落实。</w:t>
      </w:r>
    </w:p>
    <w:p w14:paraId="1F46FD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p>
    <w:p w14:paraId="5715E1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14:paraId="28CD1C3F">
      <w:pPr>
        <w:keepNext w:val="0"/>
        <w:keepLines w:val="0"/>
        <w:pageBreakBefore w:val="0"/>
        <w:widowControl w:val="0"/>
        <w:kinsoku/>
        <w:wordWrap/>
        <w:overflowPunct/>
        <w:topLinePunct w:val="0"/>
        <w:autoSpaceDE/>
        <w:autoSpaceDN/>
        <w:bidi w:val="0"/>
        <w:adjustRightInd/>
        <w:snapToGrid/>
        <w:spacing w:line="590" w:lineRule="exact"/>
        <w:ind w:right="420" w:rightChars="200"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阜阳市工业和信息化局</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阜阳市发展和改革委员会</w:t>
      </w:r>
      <w:bookmarkStart w:id="0" w:name="_GoBack"/>
      <w:bookmarkEnd w:id="0"/>
    </w:p>
    <w:p w14:paraId="3DBC79FC">
      <w:pPr>
        <w:keepNext w:val="0"/>
        <w:keepLines w:val="0"/>
        <w:pageBreakBefore w:val="0"/>
        <w:widowControl w:val="0"/>
        <w:kinsoku/>
        <w:wordWrap/>
        <w:overflowPunct/>
        <w:topLinePunct w:val="0"/>
        <w:autoSpaceDE/>
        <w:autoSpaceDN/>
        <w:bidi w:val="0"/>
        <w:adjustRightInd/>
        <w:snapToGrid/>
        <w:spacing w:line="590" w:lineRule="exact"/>
        <w:ind w:right="420" w:rightChars="200" w:firstLine="640" w:firstLineChars="200"/>
        <w:jc w:val="center"/>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阜阳市财政局</w:t>
      </w:r>
    </w:p>
    <w:p w14:paraId="4291CF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2024年6月25日</w:t>
      </w:r>
    </w:p>
    <w:p w14:paraId="26E305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14:paraId="29AE6D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14:paraId="271B4B7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val="en-US" w:eastAsia="zh-CN"/>
        </w:rPr>
      </w:pPr>
      <w:r>
        <w:rPr>
          <w:rFonts w:hint="eastAsia" w:ascii="方正小标宋简体" w:hAnsi="方正小标宋简体" w:eastAsia="方正小标宋简体" w:cs="方正小标宋简体"/>
          <w:sz w:val="44"/>
          <w:szCs w:val="44"/>
          <w:lang w:val="en-US" w:eastAsia="zh-CN"/>
        </w:rPr>
        <w:t>阜阳市推动工业领域设备更新实施方案</w:t>
      </w:r>
    </w:p>
    <w:p w14:paraId="0198AD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14:paraId="31181B2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贯彻落实国家、省、市关于推动大规模设备更新和消费品以旧换新的决策部署，加快推动工业领域大规模设备更新，进一步扩大有效投资，推动制造业高质量发展，根据工业和信息化厅等七部门《关于印发安徽省推动工业领域设备更新实施方案的通知》，结合我市实际，制定如下实施方案。</w:t>
      </w:r>
    </w:p>
    <w:p w14:paraId="37FF9A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一、总体要求</w:t>
      </w:r>
    </w:p>
    <w:p w14:paraId="6E729AE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以习近平新时代中国特色社会主义思想为指导，深入贯彻党的二十大和二十届二中全会精神，贯彻落实中央经济工作会议和中央财经委员会第四次会议部署，围绕推动工业领域大规模设备更新，实施制造业技术改造和数字化转型，持续推动先进产能比重提升，加速形成和发展新质生产力，为推进新型工业化建设现代化美好阜阳提供有力支撑。</w:t>
      </w:r>
    </w:p>
    <w:p w14:paraId="547C89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到2027年，每年打造省级数字化转型典型示范项目6个以上，培育省级智能工厂和数字化车间10个，实施亿元以上重点技术改造项目100个以上，推动技术改造投资年均增长10%以上，工业领域设备投资规模较2023年增长25%以上，实现规模以上企业数字化改造全覆盖，重点行业主要用能设备能效基本达到节能水平。</w:t>
      </w:r>
    </w:p>
    <w:p w14:paraId="1BB621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二、重点任务</w:t>
      </w:r>
    </w:p>
    <w:p w14:paraId="0B3F1B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（一）实施供给能力提升工程</w:t>
      </w:r>
    </w:p>
    <w:p w14:paraId="6774E2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加大先进智能装备研发和供给。突破一批关键技术和重大装备。每年组织我市企业申报“三首”产品，招引工业母机生产企业。大力发展智能成套装备，围绕我市优势行业，聚焦感知、控制、决策、执行等核心关键环节，加快 5G、工业互联网、智能控制技术应用，开发智能传感与控制装备、智能检测与装配装备、智能物流与仓储装备、自动化智能化生产线等，提升装备技术水平和智能化水平。重点发展以粮食仓储为主的特色农机装备产业，推进云龙粮机新型农业机械装备、正宇粮机智能机器人、鹤鸣丰康农机加工等项目建设。加大智能粮机研发力度，培育发展智慧粮库系统、智能喷灌机、智能烘干系统、粮用仓储机器人等产品。</w:t>
      </w:r>
    </w:p>
    <w:p w14:paraId="4CEEA90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推动工业软件协同创新。突破一系列软件研发设计关键技术，加快推动工业控制系统、工业控制软件等控制执行软件产品研发，加快推广工业软件，促进工业软件产业集聚发展。培育发展基础软件、工业软件、嵌入式软件等，创新行业软件应用，推进融合智能产品创新迭代。围绕工业产业研发设计、生产控制、生产管理、市场流通、销售服务等关键环节，引进培育一批工业软件企业，积极培育首版次软件和信息消费创新产品。加大工业软件推广应用力度，加快工业软件规模化应用，加快软件产业园建设，促进软件产业集聚发展。</w:t>
      </w:r>
    </w:p>
    <w:p w14:paraId="4BF3C0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（二）实施先进设备更新工程</w:t>
      </w:r>
    </w:p>
    <w:p w14:paraId="6939FAE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更新升级高端先进设备。对化工、建材、电力、机械等设备使用周期长、老旧设备相对较多的行业，摸清落后低效设备、超期服役老旧设备底数，合理制定更新改造计划。重点推动机械行业加快更新服役超过10年的工艺陈旧产线和技术装备；化工、电力等行业加快更新服役超过20年的老旧设备。对汽车、电子、光伏、动力电池等生产设备整体处于中高水平的行业，鼓励企业更新一批高技术、高效率、高可靠性的先进设备。重点推动汽车、光伏等行业总装集成能力、供应链配套能力等建设。</w:t>
      </w:r>
    </w:p>
    <w:p w14:paraId="585F35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更新升级试验检测设备。在化工、医药、电子等重点行业，围绕设计验证、测试验证、工艺验证等中试验证和检验检测环节，更新一批先进设备，提升工程化和产业化能力。重点推动设计验证环节更新模型制造设备、实验分析仪器等先进设备；测试验证环节更新机械测试、光学测试、环境测试等测试仪器；工艺验证环节更新环境适应性试验、可靠性试验、工艺验证试验、安规试验等试验专用设备，以及专用制样、材料加工、电子组装、机械加工等样品制备和试生产装备；检验检测环节更新电子测量、无损检测、智能检测等仪器设备。</w:t>
      </w:r>
    </w:p>
    <w:p w14:paraId="6EB972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（三）实施制造业数字化转型工程</w:t>
      </w:r>
    </w:p>
    <w:p w14:paraId="43AEF79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推广应用智能制造装备。以生产作业、仓储物流、质量管控等环节改造为重点，以龙头企业应用为牵引，推动增材制造装备、工业机器人、工业控制装备、智能物流装备、传感与检测装备等通用智能制造装备更新。重点推动汽车、光伏等行业更新面向特定场景的智能成套生产线和柔性生产单元；集成电路行业更新封装、测试成套装备；新型显示行业更新清洗、覆膜、切割、搬运等专用设备；玻璃、水泥、化工等原材料行业更新无人运输车辆、巡检机器人、智能检测装备等新型智能装备；消费品制造业推广面向柔性生产、个性化定制等新模式智能装备。</w:t>
      </w:r>
    </w:p>
    <w:p w14:paraId="3CC14B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分层推进企业数字化转型。在设计、生产、服务、管理等企业经营全过程，面向产品数字化设计与仿真、车间智能排产、先进过程控制、精益管理等典型场景，推广使用中小微制造业企业软件服务包。推动重点企业加快生产线数字化改造，以设备互联、数据驱动、生产智控为重点，支持企业优化工艺流程，在车间智能装备广泛应用的基础上，培育一批省级数字化车间。支持龙头企业打造智能工厂，遴选发展势头好、领导意愿强、人才储备足、投资能力大的龙头企业，争创省级智能工厂和国家级智能制造示范工厂，全面提升龙头企业的数字化、智能化水平。</w:t>
      </w:r>
    </w:p>
    <w:p w14:paraId="207427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加快产业链及区域整体数字化转型。支持龙头骨干企业围绕强基础、建平台、延链条开展集成应用创新，实施数字化转型示范项目，打造行业应用场景。以“专精特新”企业为重点，打造一批中小企业数字化转型样板，展示成功经验和转型成果，组织细分行业企业参观学习、复制推广。推动省级及以上工业园区整体转型，鼓励园区围绕主导产业，建设“一区一业一样板”，梳理提炼共性问题和应用场景，并在园区和集群内快速复制推广；加快区域资源共享，支持发展中央工厂、协同制造、共享制造、众包众创、集采集销等新模式，提升区域制造资源和创新资源的共享和协作水平。</w:t>
      </w:r>
    </w:p>
    <w:p w14:paraId="5F6C2AF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8.完善工业互联网平台体系建设。围绕电子信息、汽车、建材等重点行业，鼓励工业企业运用5G等新型网络实施内外网改造，夯实工业互联网基础设施。支持龙头企业、工业园区建立工业互联网平台。持续推进晋煤中能标识解析二级节点建设，推进基于标识解析的产品追溯、供应链管理、能耗优化等场中的创新应用。打造工业互联网创新服务载体，鼓励重点企业、工业互联网服务商，建设一批工业互联网创新中心、体验中心、推广中心、公共服务平台、联合实验室、实训基地等。</w:t>
      </w:r>
    </w:p>
    <w:p w14:paraId="785D11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（四）实施绿色装备推广工程</w:t>
      </w:r>
    </w:p>
    <w:p w14:paraId="326BC3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9.加快生产设备绿色化改造。引导重点用能行业和重点环节优先应用节能环保型装备，持续开展节能、节水、节材、综合利用、清洁生产等方面的先进技术推广，引导降低污染物排放。原材料领域鼓励企业通过更新设备提升绿色制造水平，推进生产设备绿色化改造，推广资源节约、环境友好、生产安全的绿色工艺、技术和装备。建材行业以现有水泥、玻璃等领域减污降碳、节能降耗为重点，改造提升炉窑控制、粉末破碎等相关装备和技术。有色行业加快再生金属冶炼绿色高效环保装备更新改造。</w:t>
      </w:r>
    </w:p>
    <w:p w14:paraId="621B2E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10.推动重点用能设备能效升级。以化工、再生金属等行业为重点，强化能效对标，对照《重点用能产品设备能效先进水平、节能水平和准入水平（2024年版）》，鼓励企业应用能效二级及以上节能设备，推动锅炉、电机、变压器、制冷供热空压机、风机、泵等重点用能设备更新，扩大电气化终端用能设备使用比例，提高在役高效节能设备比重。督促指导企业加快低效设备更新，会同有关部门限期淘汰落后机电设备。</w:t>
      </w:r>
    </w:p>
    <w:p w14:paraId="4389A2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11. 加快应用固废处理和节水设备。聚焦煤矿等行业，鼓励企业应用煤矸石原位井下充填等先进工艺，促进工业固废源头减量。鼓励企业提升工业固废在建筑材料等领域的高值化利用水平，升级工业固废综合利用设备设施，提升工业资源节约集约利用水平。以废钢铁、废塑料、新能源汽车废旧动力蓄电池等再生资源综合利用行业工艺和设备更新为重点，培育一批废钢铁、废塑料、新能源汽车废旧动力蓄电池综合利用规范企业。对照《工业水效提升行动计划》要求，积极引导建材、纺织、造纸、皮革、食品等重点行业工业企业进行节水和废水循环利用改造升级，更新节水设备。</w:t>
      </w:r>
    </w:p>
    <w:p w14:paraId="6F0E50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（五）实施本质安全水平提升工程</w:t>
      </w:r>
    </w:p>
    <w:p w14:paraId="0230DE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12.推广应用安全工艺技术和安全装备。开展原材料行业老旧装置改造升级专项行动，全面摸排行业存量老旧装置，建立行业老旧装置及拟改造项目清单，推广运用新技术、新设备、新工艺，更新改造一批风险高、自动化程度低、低端低效的老旧装置，持续提升行业装备设施本质安全水平。</w:t>
      </w:r>
    </w:p>
    <w:p w14:paraId="6F5870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三、保障措施</w:t>
      </w:r>
    </w:p>
    <w:p w14:paraId="0CDCCD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（一）加强组织领导。</w:t>
      </w:r>
      <w:r>
        <w:rPr>
          <w:rFonts w:hint="default" w:ascii="Times New Roman" w:hAnsi="Times New Roman" w:eastAsia="方正仿宋_GBK" w:cs="Times New Roman"/>
          <w:sz w:val="32"/>
          <w:szCs w:val="32"/>
          <w:lang w:val="en-US" w:eastAsia="zh-CN"/>
        </w:rPr>
        <w:t>各地工业和信息化主管部门牵头负责本地区工业领域设备更新和技术改造工作的组织实施，与各相关部门紧密协作，确保目标任务落实到位。同时，及时总结经验做法和工作成效，积极报送具有示范效应的特色做法和政策举措，市工业和信息化局将择优向省级推荐并加强宣传推广。</w:t>
      </w:r>
    </w:p>
    <w:p w14:paraId="689648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（二）加大政策支持。</w:t>
      </w:r>
      <w:r>
        <w:rPr>
          <w:rFonts w:hint="default" w:ascii="Times New Roman" w:hAnsi="Times New Roman" w:eastAsia="方正仿宋_GBK" w:cs="Times New Roman"/>
          <w:sz w:val="32"/>
          <w:szCs w:val="32"/>
          <w:lang w:val="en-US" w:eastAsia="zh-CN"/>
        </w:rPr>
        <w:t>用足用好国家政策，推动符合条件的设备更新项目纳入上级财政资金支持范围。贯彻落实制造强省、新兴产业、中小企业发展等现有政策，力争多争取上级奖补支持，对设备更新项目进行设备补助、贷款贴息和保险补偿。强化金融支持力度，积极争取科技创新和技术改造专项再贷款支持，降低企业融资成本。组织开展银企对接活动，拓展设备更新和技术改造项目融资渠道。</w:t>
      </w:r>
    </w:p>
    <w:p w14:paraId="1D23B9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（三）开展供需对接。</w:t>
      </w:r>
      <w:r>
        <w:rPr>
          <w:rFonts w:hint="default" w:ascii="Times New Roman" w:hAnsi="Times New Roman" w:eastAsia="方正仿宋_GBK" w:cs="Times New Roman"/>
          <w:sz w:val="32"/>
          <w:szCs w:val="32"/>
          <w:lang w:val="en-US" w:eastAsia="zh-CN"/>
        </w:rPr>
        <w:t>以对接会、现场会、推介会等不同形式，分行业、分类型开展设备更新供需对接，推介我市优质工业产品和设备，帮助解决结构性短缺和信息不对称等问题，进一步提升优势产品市场占有率。充分利用世界制造业大会等合作交流平台，拓宽供需对接渠道，支持企业开拓多元化市场，加快先进产能释放。</w:t>
      </w:r>
    </w:p>
    <w:p w14:paraId="1D54FB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（四）营造良好环境。</w:t>
      </w:r>
      <w:r>
        <w:rPr>
          <w:rFonts w:hint="default" w:ascii="Times New Roman" w:hAnsi="Times New Roman" w:eastAsia="方正仿宋_GBK" w:cs="Times New Roman"/>
          <w:sz w:val="32"/>
          <w:szCs w:val="32"/>
          <w:lang w:val="en-US" w:eastAsia="zh-CN"/>
        </w:rPr>
        <w:t>通过政府网站、政务新媒体等渠道，大力宣传设备更新改造的相关政策，提高政策知晓率，营造良好社会氛围。通过组织培训、深入企业等方式进行政策解读，推动政策及时直达企业。加强沟通协调，加强企业技术改造项目用地、用能、人才等要素保障，简化项目前期审批手续，提高企业实施设备更新改造的积极性，进一步激发市场活力。</w:t>
      </w:r>
    </w:p>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2AE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5B54CE"/>
    <w:rsid w:val="155B54CE"/>
    <w:rsid w:val="36851D82"/>
    <w:rsid w:val="3E407175"/>
    <w:rsid w:val="45B35D61"/>
    <w:rsid w:val="4E8C3AC5"/>
    <w:rsid w:val="62437047"/>
    <w:rsid w:val="6F91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3179</Words>
  <Characters>3216</Characters>
  <Lines>0</Lines>
  <Paragraphs>0</Paragraphs>
  <TotalTime>65</TotalTime>
  <ScaleCrop>false</ScaleCrop>
  <LinksUpToDate>false</LinksUpToDate>
  <CharactersWithSpaces>3334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2025-10-11T00:30:00Z</dcterms:created>
  <dc:creator>e小调  四葉草</dc:creator>
  <cp:lastModifiedBy>zxc</cp:lastModifiedBy>
  <dcterms:modified xsi:type="dcterms:W3CDTF">2025-11-04T08:07:59Z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D702AD27786243FEAB5AF49EF5C9961A_13</vt:lpwstr>
  </property>
  <property fmtid="{D5CDD505-2E9C-101B-9397-08002B2CF9AE}" pid="4" name="KSOTemplateDocerSaveRecord">
    <vt:lpwstr>eyJoZGlkIjoiMTE3NjFmMzU5ZGVhMjdlZGVkODgyZDZiMzMxZDYzZDIiLCJ1c2VySWQiOiIyNTg4NjMyOTIifQ==</vt:lpwstr>
  </property>
</Properties>
</file>