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6D3EEE">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2"/>
          <w:sz w:val="32"/>
          <w:szCs w:val="32"/>
          <w:lang w:val="en-US" w:eastAsia="zh-CN" w:bidi="ar-SA"/>
        </w:rPr>
      </w:pPr>
      <w:bookmarkStart w:id="0" w:name="_GoBack"/>
      <w:r>
        <w:rPr>
          <w:rFonts w:hint="default" w:ascii="Times New Roman" w:hAnsi="Times New Roman" w:eastAsia="方正仿宋_GBK" w:cs="Times New Roman"/>
          <w:kern w:val="2"/>
          <w:sz w:val="32"/>
          <w:szCs w:val="32"/>
          <w:lang w:val="en-US" w:eastAsia="zh-CN" w:bidi="ar-SA"/>
        </w:rPr>
        <w:t>各县（市、区）工信局、经开区经科局和阜合园区经贸局：</w:t>
      </w:r>
    </w:p>
    <w:p w14:paraId="638462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为深入贯彻落实《安徽省规上工业企业政策咨询服务全覆盖实施方案（2025-2027年）》要求，推动惠企政策精准直达，助力我市工业企业高质量发展，现将《阜阳市规上工业企业政策咨询服务全覆盖年度工作方案（2025年）》印发给你们，请结合工作实际，认真贯彻落实。</w:t>
      </w:r>
    </w:p>
    <w:p w14:paraId="41152F0C">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2"/>
          <w:sz w:val="32"/>
          <w:szCs w:val="32"/>
          <w:lang w:val="en-US" w:eastAsia="zh-CN" w:bidi="ar-SA"/>
        </w:rPr>
      </w:pPr>
    </w:p>
    <w:p w14:paraId="68602E6B">
      <w:pPr>
        <w:keepNext w:val="0"/>
        <w:keepLines w:val="0"/>
        <w:pageBreakBefore w:val="0"/>
        <w:widowControl w:val="0"/>
        <w:kinsoku/>
        <w:wordWrap/>
        <w:overflowPunct/>
        <w:topLinePunct w:val="0"/>
        <w:autoSpaceDE/>
        <w:autoSpaceDN/>
        <w:bidi w:val="0"/>
        <w:adjustRightInd/>
        <w:snapToGrid/>
        <w:spacing w:line="590" w:lineRule="exact"/>
        <w:ind w:right="420" w:rightChars="200"/>
        <w:jc w:val="right"/>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                                                                              阜阳市工业和信息化局</w:t>
      </w:r>
    </w:p>
    <w:p w14:paraId="53D695B7">
      <w:pPr>
        <w:keepNext w:val="0"/>
        <w:keepLines w:val="0"/>
        <w:pageBreakBefore w:val="0"/>
        <w:widowControl w:val="0"/>
        <w:kinsoku/>
        <w:wordWrap/>
        <w:overflowPunct/>
        <w:topLinePunct w:val="0"/>
        <w:autoSpaceDE/>
        <w:autoSpaceDN/>
        <w:bidi w:val="0"/>
        <w:adjustRightInd/>
        <w:snapToGrid/>
        <w:spacing w:line="590" w:lineRule="exact"/>
        <w:ind w:right="420" w:rightChars="200"/>
        <w:jc w:val="both"/>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                                          2025年4月18日</w:t>
      </w:r>
    </w:p>
    <w:p w14:paraId="38ACDCDE">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2"/>
          <w:sz w:val="32"/>
          <w:szCs w:val="32"/>
          <w:lang w:val="en-US" w:eastAsia="zh-CN" w:bidi="ar-SA"/>
        </w:rPr>
      </w:pPr>
    </w:p>
    <w:p w14:paraId="5FD16E1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3CE2C26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2E2B9A1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38954742">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70140E4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0C5F20B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27F55C23">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36543D39">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604A70E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6E4C76E3">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323DF17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kern w:val="2"/>
          <w:sz w:val="44"/>
          <w:szCs w:val="44"/>
          <w:lang w:val="en-US" w:eastAsia="zh-CN" w:bidi="ar-SA"/>
        </w:rPr>
      </w:pPr>
    </w:p>
    <w:p w14:paraId="567208E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小标宋简体" w:cs="Times New Roman"/>
          <w:kern w:val="2"/>
          <w:sz w:val="44"/>
          <w:szCs w:val="44"/>
          <w:lang w:val="en-US" w:eastAsia="zh-CN" w:bidi="ar-SA"/>
        </w:rPr>
        <w:t>阜阳市规上工业企业政策咨询服务全覆盖年度工作方案（2025年）</w:t>
      </w:r>
    </w:p>
    <w:p w14:paraId="235C2A99">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 xml:space="preserve"> </w:t>
      </w:r>
    </w:p>
    <w:p w14:paraId="5001E7B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为贯彻落实《安徽省规上工业企业政策咨询服务全覆盖实施方案（2025－2027年）》要求，全面推进惠企政策精准直达，助力全市工业经济高质量发展，结合工作实际，制定本实施方案。</w:t>
      </w:r>
    </w:p>
    <w:p w14:paraId="35AA109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黑体_GBK" w:cs="Times New Roman"/>
          <w:kern w:val="2"/>
          <w:sz w:val="32"/>
          <w:szCs w:val="32"/>
          <w:lang w:val="en-US" w:eastAsia="zh-CN" w:bidi="ar-SA"/>
        </w:rPr>
        <w:t>一、总体要求</w:t>
      </w:r>
    </w:p>
    <w:p w14:paraId="0402E4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（一）指导思想</w:t>
      </w:r>
      <w:r>
        <w:rPr>
          <w:rFonts w:hint="default" w:ascii="Times New Roman" w:hAnsi="Times New Roman" w:eastAsia="方正仿宋_GBK" w:cs="Times New Roman"/>
          <w:kern w:val="2"/>
          <w:sz w:val="32"/>
          <w:szCs w:val="32"/>
          <w:lang w:val="en-US" w:eastAsia="zh-CN" w:bidi="ar-SA"/>
        </w:rPr>
        <w:t xml:space="preserve">  </w:t>
      </w:r>
    </w:p>
    <w:p w14:paraId="04802D0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以习近平新时代中国特色社会主义思想为指导，深入贯彻落实党的二十大和二十届二中、三中全会精神，认真落实省委十一届七次全会和全省推进新型工业化大会部署，以“政策宣贯、助企惠企、精准服务、促进发展”为主题，整合社会化中小企业服务机构资源，创新服务模式开展政策咨询服务，构建“集中宣贯+精准对接+线上赋能+长效服务”的全链条服务体系，打通政策落地“最后一公里”。</w:t>
      </w:r>
    </w:p>
    <w:p w14:paraId="6983974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（二）工作目标</w:t>
      </w:r>
      <w:r>
        <w:rPr>
          <w:rFonts w:hint="default" w:ascii="Times New Roman" w:hAnsi="Times New Roman" w:eastAsia="方正仿宋_GBK" w:cs="Times New Roman"/>
          <w:kern w:val="2"/>
          <w:sz w:val="32"/>
          <w:szCs w:val="32"/>
          <w:lang w:val="en-US" w:eastAsia="zh-CN" w:bidi="ar-SA"/>
        </w:rPr>
        <w:t xml:space="preserve">  </w:t>
      </w:r>
    </w:p>
    <w:p w14:paraId="1653095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归集国家、省、市现行有效的惠企政策，遴选优质中小企业服务机构开展政策咨询服务，每年完成全市规上工业企业数的1/3以上，同时动态纳入新入规企业。2025年全年完成政策咨询服务500户，到2027年底实现全市规模以上工业企业政策咨询服务全覆盖，确保企业政策知晓率100%、政策匹配率90%以上。</w:t>
      </w:r>
    </w:p>
    <w:p w14:paraId="55F0C87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黑体_GBK" w:cs="Times New Roman"/>
          <w:kern w:val="2"/>
          <w:sz w:val="32"/>
          <w:szCs w:val="32"/>
          <w:lang w:val="en-US" w:eastAsia="zh-CN" w:bidi="ar-SA"/>
        </w:rPr>
        <w:t>二、工作安排</w:t>
      </w:r>
    </w:p>
    <w:p w14:paraId="63D31F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（一）部署准备阶段（2025年1月-4月）</w:t>
      </w:r>
    </w:p>
    <w:p w14:paraId="37A82A2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编制惠企政策汇编。市工信局会同市委人才局、市发改委、市科技局、市数据资源局、市人社局、市市场监管局等部门归集梳理国家、省、市现行有效的惠企政策，将政策原文内容颗粒化拆解成可操作的事项清单，编制企业“看得懂、学得会、用得上”的全市惠企政策汇编，并动态优化更新。（时间节点：4月）</w:t>
      </w:r>
    </w:p>
    <w:p w14:paraId="5854271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2.召开工作部署会。市工信局召开全市政策咨询服务全覆盖工作部署会，下发年度工作方案，明确年度目标、细化月度任务、服务要求、时间节点等内容。（时间节点：4月）</w:t>
      </w:r>
    </w:p>
    <w:p w14:paraId="4020D67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确定两个清单。市工信局根据年度任务、企业意愿等情况，建立年度服务企业清单。结合我市产业特色和企业需求，从国家、省中小企业公共服务示范平台及其他优质服务机构中遴选出一批企业认可度较高的服务机构，建立年度服务机构清单。同时结合实际，明确服务机构与企业匹配关系。（时间节点：4月）</w:t>
      </w:r>
    </w:p>
    <w:p w14:paraId="1567315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（二）全面实施阶段（2025年5月－10月）</w:t>
      </w:r>
    </w:p>
    <w:p w14:paraId="04A813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开展政策集中宣贯。市工信局组织相关部门、各服务机构、各县（市、区）工信局、经开区经科局和阜合园区经贸局围绕各级奖励补助、减税降费等惠企政策，开展政策集中宣讲会，通过线下宣讲、制作发布线上直播视频等多种方式，向企业宣传各类惠企政策，提高政策知晓率。（时间节点：5月-10月）</w:t>
      </w:r>
    </w:p>
    <w:p w14:paraId="1E62518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2.设立线上专栏。依托省“益企服务云”、市中小企业综合服务平台设立线上政策服务专栏，对惠企政策按照适用行业、支持行为等属性进行分类，并向企业发布推送。（时间节点：5月－10月）</w:t>
      </w:r>
    </w:p>
    <w:p w14:paraId="3CF633B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精准解读政策。各县（市、区）工信局、经开区经科局和阜合园区经贸局要结合明确的服务机构与企业匹配关系，组织服务机构分园区向规上工业企业“一对一”解读可享受的政策条款，确保惠企政策精准直达。（时间节点：5月-10月）</w:t>
      </w:r>
    </w:p>
    <w:p w14:paraId="75201BD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组织专业机构服务。各服务机构通过集中宣讲、专题培训、入企解读等方式开展政策咨询服务，实现由“企业找政策”到“政策找企业”的转变。要发挥服务机构专业优势，为企业量身定制政策咨询服务专属“服务包”，提供流程辅导、申兑节点提醒、材料组织等服务，对政策申报未通过企业提供二次诊断和指导，推动惠企政策应享尽享。（时间节点：5月－10月）</w:t>
      </w:r>
    </w:p>
    <w:p w14:paraId="0E04EE2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开展咨询辅导。各服务机构通过服务电话、线上平台等渠道，及时解答企业的政策咨询问题。围绕企业可享受的惠企政策事项，为企业提供申兑节点提醒、流程辅导等服务，推动惠企政策应享尽享。（时间节点：5月－10月）</w:t>
      </w:r>
    </w:p>
    <w:p w14:paraId="6254D7D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6.收集问题建议。各服务机构通过问卷调查、访谈交流等方式，收集企业在信贷融资、资本对接、上市服务、科技创新、人才用工等方面需求和对惠企政策的意见建议。（时间节点：5月－10月）</w:t>
      </w:r>
    </w:p>
    <w:p w14:paraId="406BA8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做好延伸服务。市工信局、各县（市、区）工信局、经开区经科局和阜合园区经贸局认真梳理分析企业的服务需求，会同相关部门组织投融资对接、产学研合作、人才服务等活动，持续为企排忧解难。对企业反映的意见建议，及时反馈给相关政策制定部门，为政策优化完善提供决策参考。（时间节点：5月－10月）</w:t>
      </w:r>
    </w:p>
    <w:p w14:paraId="2C45216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（三）总结评估阶段（2025年11月－12月）</w:t>
      </w:r>
    </w:p>
    <w:p w14:paraId="00B8040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1.开展成效评估。市工信局组织第三方围绕服务覆盖面、实际成效、政策知晓率、企业满意度等方面对政策咨询服务情况进行评估，以评促改、以评促优。（时间节点：11月底）</w:t>
      </w:r>
    </w:p>
    <w:p w14:paraId="20B69C8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2.总结经验做法。市工信局总结年度政策咨询服务工作成效，分析存在问题，提出改进措施，及时收集上报全市政策咨询服务典型案例。（时间节点：10月－12月）</w:t>
      </w:r>
    </w:p>
    <w:p w14:paraId="28AB4EA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黑体_GBK" w:cs="Times New Roman"/>
          <w:kern w:val="2"/>
          <w:sz w:val="32"/>
          <w:szCs w:val="32"/>
          <w:lang w:val="en-US" w:eastAsia="zh-CN" w:bidi="ar-SA"/>
        </w:rPr>
        <w:t>三、保障措施</w:t>
      </w:r>
    </w:p>
    <w:p w14:paraId="3880849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（一）强化组织领导。</w:t>
      </w:r>
      <w:r>
        <w:rPr>
          <w:rFonts w:hint="default" w:ascii="Times New Roman" w:hAnsi="Times New Roman" w:eastAsia="方正仿宋_GBK" w:cs="Times New Roman"/>
          <w:kern w:val="2"/>
          <w:sz w:val="32"/>
          <w:szCs w:val="32"/>
          <w:lang w:val="en-US" w:eastAsia="zh-CN" w:bidi="ar-SA"/>
        </w:rPr>
        <w:t>市工信局统筹推进政策咨询服务活动，成立由局领导任组长的工作专班，将政策咨询服务全覆盖工作纳入年度工作要点，压实工作责任，加强组织管理，协调解决工作推进中遇到的问题。</w:t>
      </w:r>
    </w:p>
    <w:p w14:paraId="0F8782B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（二）强化激励督促。</w:t>
      </w:r>
      <w:r>
        <w:rPr>
          <w:rFonts w:hint="default" w:ascii="Times New Roman" w:hAnsi="Times New Roman" w:eastAsia="方正仿宋_GBK" w:cs="Times New Roman"/>
          <w:kern w:val="2"/>
          <w:sz w:val="32"/>
          <w:szCs w:val="32"/>
          <w:lang w:val="en-US" w:eastAsia="zh-CN" w:bidi="ar-SA"/>
        </w:rPr>
        <w:t>建立跟踪调度机制，市工信息局每月跟踪政策咨询服务工作进度，督促问题整改。积极加强与省工信厅工作对接，及时汇报工作进度等情况。规范使用省厅下达的专项资金，年底对政策咨询服务效果进行评估，按服务企业数、效果评估结果支付服务机构项目资金。</w:t>
      </w:r>
    </w:p>
    <w:p w14:paraId="46595A1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（三）强化宣传引导。</w:t>
      </w:r>
      <w:r>
        <w:rPr>
          <w:rFonts w:hint="default" w:ascii="Times New Roman" w:hAnsi="Times New Roman" w:eastAsia="方正仿宋_GBK" w:cs="Times New Roman"/>
          <w:kern w:val="2"/>
          <w:sz w:val="32"/>
          <w:szCs w:val="32"/>
          <w:lang w:val="en-US" w:eastAsia="zh-CN" w:bidi="ar-SA"/>
        </w:rPr>
        <w:t>充分运用主流媒体和新兴媒体，对政策咨询服务活动进行报道，广泛宣传政策落地咨询服务全覆盖的主要做法、典型经验和实施效果，引导企业广泛参与，营造良好工作氛围。</w:t>
      </w:r>
    </w:p>
    <w:p w14:paraId="12E0EE0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 xml:space="preserve"> </w:t>
      </w:r>
    </w:p>
    <w:p w14:paraId="6E2CB8D1">
      <w:pPr>
        <w:keepNext w:val="0"/>
        <w:keepLines w:val="0"/>
        <w:pageBreakBefore w:val="0"/>
        <w:widowControl w:val="0"/>
        <w:kinsoku/>
        <w:wordWrap/>
        <w:overflowPunct/>
        <w:topLinePunct w:val="0"/>
        <w:autoSpaceDE/>
        <w:autoSpaceDN/>
        <w:bidi w:val="0"/>
        <w:adjustRightInd/>
        <w:snapToGrid/>
        <w:spacing w:line="590" w:lineRule="exact"/>
        <w:ind w:left="1598" w:leftChars="304" w:hanging="960" w:hangingChars="3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附件：全市规上工业企业政策咨询服务任务计划表（2025年度）</w:t>
      </w:r>
    </w:p>
    <w:p w14:paraId="28B024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 xml:space="preserve"> </w:t>
      </w:r>
    </w:p>
    <w:p w14:paraId="5AE8476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1C4BC4F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6EF056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53E2769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63BF9C3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2246D78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0F6AAB2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1F043A6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47711CA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324EB3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3B5CC6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29F3B5E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027499F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5446E61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41B4BFE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p>
    <w:p w14:paraId="39E56B38">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黑体_GBK" w:cs="Times New Roman"/>
          <w:kern w:val="2"/>
          <w:sz w:val="32"/>
          <w:szCs w:val="32"/>
          <w:lang w:val="en-US" w:eastAsia="zh-CN" w:bidi="ar-SA"/>
        </w:rPr>
        <w:t>附件</w:t>
      </w:r>
    </w:p>
    <w:p w14:paraId="2C09D30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小标宋简体" w:cs="Times New Roman"/>
          <w:kern w:val="2"/>
          <w:sz w:val="44"/>
          <w:szCs w:val="44"/>
          <w:lang w:val="en-US" w:eastAsia="zh-CN" w:bidi="ar-SA"/>
        </w:rPr>
        <w:t>全市规上工业企业政策咨询服务任务计划表（2025年度）</w:t>
      </w:r>
    </w:p>
    <w:p w14:paraId="0EC26B7C">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 xml:space="preserve"> </w:t>
      </w:r>
    </w:p>
    <w:tbl>
      <w:tblPr>
        <w:tblW w:w="91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331"/>
        <w:gridCol w:w="1750"/>
        <w:gridCol w:w="2913"/>
        <w:gridCol w:w="3112"/>
      </w:tblGrid>
      <w:tr w14:paraId="2C1E1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60" w:hRule="atLeast"/>
        </w:trPr>
        <w:tc>
          <w:tcPr>
            <w:tcW w:w="1331" w:type="dxa"/>
            <w:tcBorders>
              <w:top w:val="single" w:color="000000" w:sz="4" w:space="0"/>
              <w:left w:val="single" w:color="000000" w:sz="4" w:space="0"/>
              <w:bottom w:val="nil"/>
              <w:right w:val="single" w:color="000000" w:sz="4" w:space="0"/>
            </w:tcBorders>
            <w:shd w:val="clear"/>
            <w:vAlign w:val="center"/>
          </w:tcPr>
          <w:p w14:paraId="455CA78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序号</w:t>
            </w:r>
          </w:p>
        </w:tc>
        <w:tc>
          <w:tcPr>
            <w:tcW w:w="1750" w:type="dxa"/>
            <w:tcBorders>
              <w:top w:val="single" w:color="000000" w:sz="4" w:space="0"/>
              <w:left w:val="nil"/>
              <w:bottom w:val="nil"/>
              <w:right w:val="single" w:color="000000" w:sz="4" w:space="0"/>
            </w:tcBorders>
            <w:shd w:val="clear"/>
            <w:vAlign w:val="center"/>
          </w:tcPr>
          <w:p w14:paraId="708DE5B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地区</w:t>
            </w:r>
          </w:p>
        </w:tc>
        <w:tc>
          <w:tcPr>
            <w:tcW w:w="2913" w:type="dxa"/>
            <w:tcBorders>
              <w:top w:val="single" w:color="000000" w:sz="4" w:space="0"/>
              <w:left w:val="nil"/>
              <w:bottom w:val="nil"/>
              <w:right w:val="single" w:color="000000" w:sz="4" w:space="0"/>
            </w:tcBorders>
            <w:shd w:val="clear"/>
            <w:vAlign w:val="center"/>
          </w:tcPr>
          <w:p w14:paraId="7C9D123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2024年12月底规上工业企业数（户）</w:t>
            </w:r>
          </w:p>
        </w:tc>
        <w:tc>
          <w:tcPr>
            <w:tcW w:w="3112" w:type="dxa"/>
            <w:tcBorders>
              <w:top w:val="single" w:color="000000" w:sz="4" w:space="0"/>
              <w:left w:val="nil"/>
              <w:bottom w:val="nil"/>
              <w:right w:val="single" w:color="000000" w:sz="4" w:space="0"/>
            </w:tcBorders>
            <w:shd w:val="clear"/>
            <w:vAlign w:val="center"/>
          </w:tcPr>
          <w:p w14:paraId="42E93246">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2025年度计划服务工业企业数（户）</w:t>
            </w:r>
          </w:p>
        </w:tc>
      </w:tr>
      <w:tr w14:paraId="5502B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15CB863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p>
        </w:tc>
        <w:tc>
          <w:tcPr>
            <w:tcW w:w="1750" w:type="dxa"/>
            <w:tcBorders>
              <w:top w:val="single" w:color="000000" w:sz="4" w:space="0"/>
              <w:left w:val="nil"/>
              <w:bottom w:val="single" w:color="000000" w:sz="4" w:space="0"/>
              <w:right w:val="single" w:color="000000" w:sz="4" w:space="0"/>
            </w:tcBorders>
            <w:shd w:val="clear"/>
            <w:noWrap/>
            <w:vAlign w:val="center"/>
          </w:tcPr>
          <w:p w14:paraId="2D58A60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颍州区</w:t>
            </w:r>
          </w:p>
        </w:tc>
        <w:tc>
          <w:tcPr>
            <w:tcW w:w="2913" w:type="dxa"/>
            <w:tcBorders>
              <w:top w:val="single" w:color="000000" w:sz="4" w:space="0"/>
              <w:left w:val="nil"/>
              <w:bottom w:val="single" w:color="000000" w:sz="4" w:space="0"/>
              <w:right w:val="single" w:color="000000" w:sz="4" w:space="0"/>
            </w:tcBorders>
            <w:shd w:val="clear"/>
            <w:noWrap/>
            <w:vAlign w:val="center"/>
          </w:tcPr>
          <w:p w14:paraId="339C4818">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33</w:t>
            </w:r>
          </w:p>
        </w:tc>
        <w:tc>
          <w:tcPr>
            <w:tcW w:w="3112" w:type="dxa"/>
            <w:tcBorders>
              <w:top w:val="single" w:color="000000" w:sz="4" w:space="0"/>
              <w:left w:val="nil"/>
              <w:bottom w:val="single" w:color="000000" w:sz="4" w:space="0"/>
              <w:right w:val="single" w:color="000000" w:sz="4" w:space="0"/>
            </w:tcBorders>
            <w:shd w:val="clear"/>
            <w:noWrap/>
            <w:vAlign w:val="center"/>
          </w:tcPr>
          <w:p w14:paraId="7B28EE4F">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10</w:t>
            </w:r>
          </w:p>
        </w:tc>
      </w:tr>
      <w:tr w14:paraId="490D8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50E26E39">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p>
        </w:tc>
        <w:tc>
          <w:tcPr>
            <w:tcW w:w="1750" w:type="dxa"/>
            <w:tcBorders>
              <w:top w:val="single" w:color="000000" w:sz="4" w:space="0"/>
              <w:left w:val="nil"/>
              <w:bottom w:val="single" w:color="000000" w:sz="4" w:space="0"/>
              <w:right w:val="single" w:color="000000" w:sz="4" w:space="0"/>
            </w:tcBorders>
            <w:shd w:val="clear"/>
            <w:noWrap/>
            <w:vAlign w:val="center"/>
          </w:tcPr>
          <w:p w14:paraId="74DB58A2">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颍东区</w:t>
            </w:r>
          </w:p>
        </w:tc>
        <w:tc>
          <w:tcPr>
            <w:tcW w:w="2913" w:type="dxa"/>
            <w:tcBorders>
              <w:top w:val="single" w:color="000000" w:sz="4" w:space="0"/>
              <w:left w:val="nil"/>
              <w:bottom w:val="single" w:color="000000" w:sz="4" w:space="0"/>
              <w:right w:val="single" w:color="000000" w:sz="4" w:space="0"/>
            </w:tcBorders>
            <w:shd w:val="clear"/>
            <w:noWrap/>
            <w:vAlign w:val="center"/>
          </w:tcPr>
          <w:p w14:paraId="1D863C88">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104</w:t>
            </w:r>
          </w:p>
        </w:tc>
        <w:tc>
          <w:tcPr>
            <w:tcW w:w="3112" w:type="dxa"/>
            <w:tcBorders>
              <w:top w:val="single" w:color="000000" w:sz="4" w:space="0"/>
              <w:left w:val="nil"/>
              <w:bottom w:val="single" w:color="000000" w:sz="4" w:space="0"/>
              <w:right w:val="single" w:color="000000" w:sz="4" w:space="0"/>
            </w:tcBorders>
            <w:shd w:val="clear"/>
            <w:noWrap/>
            <w:vAlign w:val="center"/>
          </w:tcPr>
          <w:p w14:paraId="2CE5472F">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35</w:t>
            </w:r>
          </w:p>
        </w:tc>
      </w:tr>
      <w:tr w14:paraId="37F4C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5448918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p>
        </w:tc>
        <w:tc>
          <w:tcPr>
            <w:tcW w:w="1750" w:type="dxa"/>
            <w:tcBorders>
              <w:top w:val="single" w:color="000000" w:sz="4" w:space="0"/>
              <w:left w:val="nil"/>
              <w:bottom w:val="single" w:color="000000" w:sz="4" w:space="0"/>
              <w:right w:val="single" w:color="000000" w:sz="4" w:space="0"/>
            </w:tcBorders>
            <w:shd w:val="clear"/>
            <w:noWrap/>
            <w:vAlign w:val="center"/>
          </w:tcPr>
          <w:p w14:paraId="1E9D4AC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颍泉区</w:t>
            </w:r>
          </w:p>
        </w:tc>
        <w:tc>
          <w:tcPr>
            <w:tcW w:w="2913" w:type="dxa"/>
            <w:tcBorders>
              <w:top w:val="single" w:color="000000" w:sz="4" w:space="0"/>
              <w:left w:val="nil"/>
              <w:bottom w:val="single" w:color="000000" w:sz="4" w:space="0"/>
              <w:right w:val="single" w:color="000000" w:sz="4" w:space="0"/>
            </w:tcBorders>
            <w:shd w:val="clear"/>
            <w:noWrap/>
            <w:vAlign w:val="center"/>
          </w:tcPr>
          <w:p w14:paraId="6DE2EE9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106</w:t>
            </w:r>
          </w:p>
        </w:tc>
        <w:tc>
          <w:tcPr>
            <w:tcW w:w="3112" w:type="dxa"/>
            <w:tcBorders>
              <w:top w:val="single" w:color="000000" w:sz="4" w:space="0"/>
              <w:left w:val="nil"/>
              <w:bottom w:val="single" w:color="000000" w:sz="4" w:space="0"/>
              <w:right w:val="single" w:color="000000" w:sz="4" w:space="0"/>
            </w:tcBorders>
            <w:shd w:val="clear"/>
            <w:noWrap/>
            <w:vAlign w:val="center"/>
          </w:tcPr>
          <w:p w14:paraId="5D637E5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36</w:t>
            </w:r>
          </w:p>
        </w:tc>
      </w:tr>
      <w:tr w14:paraId="003AD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39FB974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p>
        </w:tc>
        <w:tc>
          <w:tcPr>
            <w:tcW w:w="1750" w:type="dxa"/>
            <w:tcBorders>
              <w:top w:val="single" w:color="000000" w:sz="4" w:space="0"/>
              <w:left w:val="nil"/>
              <w:bottom w:val="single" w:color="000000" w:sz="4" w:space="0"/>
              <w:right w:val="single" w:color="000000" w:sz="4" w:space="0"/>
            </w:tcBorders>
            <w:shd w:val="clear"/>
            <w:noWrap/>
            <w:vAlign w:val="center"/>
          </w:tcPr>
          <w:p w14:paraId="7E8C94F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临泉县</w:t>
            </w:r>
          </w:p>
        </w:tc>
        <w:tc>
          <w:tcPr>
            <w:tcW w:w="2913" w:type="dxa"/>
            <w:tcBorders>
              <w:top w:val="single" w:color="000000" w:sz="4" w:space="0"/>
              <w:left w:val="nil"/>
              <w:bottom w:val="single" w:color="000000" w:sz="4" w:space="0"/>
              <w:right w:val="single" w:color="000000" w:sz="4" w:space="0"/>
            </w:tcBorders>
            <w:shd w:val="clear"/>
            <w:noWrap/>
            <w:vAlign w:val="center"/>
          </w:tcPr>
          <w:p w14:paraId="7B89A8C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163</w:t>
            </w:r>
          </w:p>
        </w:tc>
        <w:tc>
          <w:tcPr>
            <w:tcW w:w="3112" w:type="dxa"/>
            <w:tcBorders>
              <w:top w:val="single" w:color="000000" w:sz="4" w:space="0"/>
              <w:left w:val="nil"/>
              <w:bottom w:val="single" w:color="000000" w:sz="4" w:space="0"/>
              <w:right w:val="single" w:color="000000" w:sz="4" w:space="0"/>
            </w:tcBorders>
            <w:shd w:val="clear"/>
            <w:noWrap/>
            <w:vAlign w:val="center"/>
          </w:tcPr>
          <w:p w14:paraId="7955EBC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56</w:t>
            </w:r>
          </w:p>
        </w:tc>
      </w:tr>
      <w:tr w14:paraId="0C623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22E2FCC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w:t>
            </w:r>
          </w:p>
        </w:tc>
        <w:tc>
          <w:tcPr>
            <w:tcW w:w="1750" w:type="dxa"/>
            <w:tcBorders>
              <w:top w:val="single" w:color="000000" w:sz="4" w:space="0"/>
              <w:left w:val="nil"/>
              <w:bottom w:val="single" w:color="000000" w:sz="4" w:space="0"/>
              <w:right w:val="single" w:color="000000" w:sz="4" w:space="0"/>
            </w:tcBorders>
            <w:shd w:val="clear"/>
            <w:noWrap/>
            <w:vAlign w:val="center"/>
          </w:tcPr>
          <w:p w14:paraId="3566D59F">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太和县</w:t>
            </w:r>
          </w:p>
        </w:tc>
        <w:tc>
          <w:tcPr>
            <w:tcW w:w="2913" w:type="dxa"/>
            <w:tcBorders>
              <w:top w:val="single" w:color="000000" w:sz="4" w:space="0"/>
              <w:left w:val="nil"/>
              <w:bottom w:val="single" w:color="000000" w:sz="4" w:space="0"/>
              <w:right w:val="single" w:color="000000" w:sz="4" w:space="0"/>
            </w:tcBorders>
            <w:shd w:val="clear"/>
            <w:noWrap/>
            <w:vAlign w:val="center"/>
          </w:tcPr>
          <w:p w14:paraId="54ACE5C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262</w:t>
            </w:r>
          </w:p>
        </w:tc>
        <w:tc>
          <w:tcPr>
            <w:tcW w:w="3112" w:type="dxa"/>
            <w:tcBorders>
              <w:top w:val="single" w:color="000000" w:sz="4" w:space="0"/>
              <w:left w:val="nil"/>
              <w:bottom w:val="single" w:color="000000" w:sz="4" w:space="0"/>
              <w:right w:val="single" w:color="000000" w:sz="4" w:space="0"/>
            </w:tcBorders>
            <w:shd w:val="clear"/>
            <w:noWrap/>
            <w:vAlign w:val="center"/>
          </w:tcPr>
          <w:p w14:paraId="36F56F9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89</w:t>
            </w:r>
          </w:p>
        </w:tc>
      </w:tr>
      <w:tr w14:paraId="29EA6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758FCE0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6</w:t>
            </w:r>
          </w:p>
        </w:tc>
        <w:tc>
          <w:tcPr>
            <w:tcW w:w="1750" w:type="dxa"/>
            <w:tcBorders>
              <w:top w:val="single" w:color="000000" w:sz="4" w:space="0"/>
              <w:left w:val="nil"/>
              <w:bottom w:val="single" w:color="000000" w:sz="4" w:space="0"/>
              <w:right w:val="single" w:color="000000" w:sz="4" w:space="0"/>
            </w:tcBorders>
            <w:shd w:val="clear"/>
            <w:noWrap/>
            <w:vAlign w:val="center"/>
          </w:tcPr>
          <w:p w14:paraId="0F352DE7">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阜南县</w:t>
            </w:r>
          </w:p>
        </w:tc>
        <w:tc>
          <w:tcPr>
            <w:tcW w:w="2913" w:type="dxa"/>
            <w:tcBorders>
              <w:top w:val="single" w:color="000000" w:sz="4" w:space="0"/>
              <w:left w:val="nil"/>
              <w:bottom w:val="single" w:color="000000" w:sz="4" w:space="0"/>
              <w:right w:val="single" w:color="000000" w:sz="4" w:space="0"/>
            </w:tcBorders>
            <w:shd w:val="clear"/>
            <w:noWrap/>
            <w:vAlign w:val="center"/>
          </w:tcPr>
          <w:p w14:paraId="4CC512D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211</w:t>
            </w:r>
          </w:p>
        </w:tc>
        <w:tc>
          <w:tcPr>
            <w:tcW w:w="3112" w:type="dxa"/>
            <w:tcBorders>
              <w:top w:val="single" w:color="000000" w:sz="4" w:space="0"/>
              <w:left w:val="nil"/>
              <w:bottom w:val="single" w:color="000000" w:sz="4" w:space="0"/>
              <w:right w:val="single" w:color="000000" w:sz="4" w:space="0"/>
            </w:tcBorders>
            <w:shd w:val="clear"/>
            <w:noWrap/>
            <w:vAlign w:val="center"/>
          </w:tcPr>
          <w:p w14:paraId="572840C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72</w:t>
            </w:r>
          </w:p>
        </w:tc>
      </w:tr>
      <w:tr w14:paraId="7EFB1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553DE2C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w:t>
            </w:r>
          </w:p>
        </w:tc>
        <w:tc>
          <w:tcPr>
            <w:tcW w:w="1750" w:type="dxa"/>
            <w:tcBorders>
              <w:top w:val="single" w:color="000000" w:sz="4" w:space="0"/>
              <w:left w:val="nil"/>
              <w:bottom w:val="single" w:color="000000" w:sz="4" w:space="0"/>
              <w:right w:val="single" w:color="000000" w:sz="4" w:space="0"/>
            </w:tcBorders>
            <w:shd w:val="clear"/>
            <w:noWrap/>
            <w:vAlign w:val="center"/>
          </w:tcPr>
          <w:p w14:paraId="386AC498">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颍上县</w:t>
            </w:r>
          </w:p>
        </w:tc>
        <w:tc>
          <w:tcPr>
            <w:tcW w:w="2913" w:type="dxa"/>
            <w:tcBorders>
              <w:top w:val="single" w:color="000000" w:sz="4" w:space="0"/>
              <w:left w:val="nil"/>
              <w:bottom w:val="single" w:color="000000" w:sz="4" w:space="0"/>
              <w:right w:val="single" w:color="000000" w:sz="4" w:space="0"/>
            </w:tcBorders>
            <w:shd w:val="clear"/>
            <w:noWrap/>
            <w:vAlign w:val="center"/>
          </w:tcPr>
          <w:p w14:paraId="258A48C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220</w:t>
            </w:r>
          </w:p>
        </w:tc>
        <w:tc>
          <w:tcPr>
            <w:tcW w:w="3112" w:type="dxa"/>
            <w:tcBorders>
              <w:top w:val="single" w:color="000000" w:sz="4" w:space="0"/>
              <w:left w:val="nil"/>
              <w:bottom w:val="single" w:color="000000" w:sz="4" w:space="0"/>
              <w:right w:val="single" w:color="000000" w:sz="4" w:space="0"/>
            </w:tcBorders>
            <w:shd w:val="clear"/>
            <w:noWrap/>
            <w:vAlign w:val="center"/>
          </w:tcPr>
          <w:p w14:paraId="4EF93099">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75</w:t>
            </w:r>
          </w:p>
        </w:tc>
      </w:tr>
      <w:tr w14:paraId="3A576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17937C2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8</w:t>
            </w:r>
          </w:p>
        </w:tc>
        <w:tc>
          <w:tcPr>
            <w:tcW w:w="1750" w:type="dxa"/>
            <w:tcBorders>
              <w:top w:val="single" w:color="000000" w:sz="4" w:space="0"/>
              <w:left w:val="nil"/>
              <w:bottom w:val="single" w:color="000000" w:sz="4" w:space="0"/>
              <w:right w:val="single" w:color="000000" w:sz="4" w:space="0"/>
            </w:tcBorders>
            <w:shd w:val="clear"/>
            <w:noWrap/>
            <w:vAlign w:val="center"/>
          </w:tcPr>
          <w:p w14:paraId="3C35FB9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界首市</w:t>
            </w:r>
          </w:p>
        </w:tc>
        <w:tc>
          <w:tcPr>
            <w:tcW w:w="2913" w:type="dxa"/>
            <w:tcBorders>
              <w:top w:val="single" w:color="000000" w:sz="4" w:space="0"/>
              <w:left w:val="nil"/>
              <w:bottom w:val="single" w:color="000000" w:sz="4" w:space="0"/>
              <w:right w:val="single" w:color="000000" w:sz="4" w:space="0"/>
            </w:tcBorders>
            <w:shd w:val="clear"/>
            <w:noWrap/>
            <w:vAlign w:val="center"/>
          </w:tcPr>
          <w:p w14:paraId="5F83D93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201</w:t>
            </w:r>
          </w:p>
        </w:tc>
        <w:tc>
          <w:tcPr>
            <w:tcW w:w="3112" w:type="dxa"/>
            <w:tcBorders>
              <w:top w:val="single" w:color="000000" w:sz="4" w:space="0"/>
              <w:left w:val="nil"/>
              <w:bottom w:val="single" w:color="000000" w:sz="4" w:space="0"/>
              <w:right w:val="single" w:color="000000" w:sz="4" w:space="0"/>
            </w:tcBorders>
            <w:shd w:val="clear"/>
            <w:noWrap/>
            <w:vAlign w:val="center"/>
          </w:tcPr>
          <w:p w14:paraId="5393936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67</w:t>
            </w:r>
          </w:p>
        </w:tc>
      </w:tr>
      <w:tr w14:paraId="39BDB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330D9AF2">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9</w:t>
            </w:r>
          </w:p>
        </w:tc>
        <w:tc>
          <w:tcPr>
            <w:tcW w:w="1750" w:type="dxa"/>
            <w:tcBorders>
              <w:top w:val="single" w:color="000000" w:sz="4" w:space="0"/>
              <w:left w:val="nil"/>
              <w:bottom w:val="single" w:color="000000" w:sz="4" w:space="0"/>
              <w:right w:val="single" w:color="000000" w:sz="4" w:space="0"/>
            </w:tcBorders>
            <w:shd w:val="clear"/>
            <w:noWrap/>
            <w:vAlign w:val="center"/>
          </w:tcPr>
          <w:p w14:paraId="594FEA9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经开区</w:t>
            </w:r>
          </w:p>
        </w:tc>
        <w:tc>
          <w:tcPr>
            <w:tcW w:w="2913" w:type="dxa"/>
            <w:tcBorders>
              <w:top w:val="single" w:color="000000" w:sz="4" w:space="0"/>
              <w:left w:val="nil"/>
              <w:bottom w:val="single" w:color="000000" w:sz="4" w:space="0"/>
              <w:right w:val="single" w:color="000000" w:sz="4" w:space="0"/>
            </w:tcBorders>
            <w:shd w:val="clear"/>
            <w:noWrap/>
            <w:vAlign w:val="center"/>
          </w:tcPr>
          <w:p w14:paraId="5158119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124</w:t>
            </w:r>
          </w:p>
        </w:tc>
        <w:tc>
          <w:tcPr>
            <w:tcW w:w="3112" w:type="dxa"/>
            <w:tcBorders>
              <w:top w:val="single" w:color="000000" w:sz="4" w:space="0"/>
              <w:left w:val="nil"/>
              <w:bottom w:val="single" w:color="000000" w:sz="4" w:space="0"/>
              <w:right w:val="single" w:color="000000" w:sz="4" w:space="0"/>
            </w:tcBorders>
            <w:shd w:val="clear"/>
            <w:noWrap/>
            <w:vAlign w:val="center"/>
          </w:tcPr>
          <w:p w14:paraId="594FBE6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42</w:t>
            </w:r>
          </w:p>
        </w:tc>
      </w:tr>
      <w:tr w14:paraId="09F17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1331" w:type="dxa"/>
            <w:tcBorders>
              <w:top w:val="single" w:color="000000" w:sz="4" w:space="0"/>
              <w:left w:val="single" w:color="000000" w:sz="4" w:space="0"/>
              <w:bottom w:val="single" w:color="000000" w:sz="4" w:space="0"/>
              <w:right w:val="single" w:color="000000" w:sz="4" w:space="0"/>
            </w:tcBorders>
            <w:shd w:val="clear"/>
            <w:noWrap/>
            <w:vAlign w:val="center"/>
          </w:tcPr>
          <w:p w14:paraId="11A62D69">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10</w:t>
            </w:r>
          </w:p>
        </w:tc>
        <w:tc>
          <w:tcPr>
            <w:tcW w:w="1750" w:type="dxa"/>
            <w:tcBorders>
              <w:top w:val="single" w:color="000000" w:sz="4" w:space="0"/>
              <w:left w:val="nil"/>
              <w:bottom w:val="single" w:color="000000" w:sz="4" w:space="0"/>
              <w:right w:val="single" w:color="000000" w:sz="4" w:space="0"/>
            </w:tcBorders>
            <w:shd w:val="clear"/>
            <w:noWrap/>
            <w:vAlign w:val="center"/>
          </w:tcPr>
          <w:p w14:paraId="7C70DD1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阜合园区</w:t>
            </w:r>
          </w:p>
        </w:tc>
        <w:tc>
          <w:tcPr>
            <w:tcW w:w="2913" w:type="dxa"/>
            <w:tcBorders>
              <w:top w:val="single" w:color="000000" w:sz="4" w:space="0"/>
              <w:left w:val="nil"/>
              <w:bottom w:val="single" w:color="000000" w:sz="4" w:space="0"/>
              <w:right w:val="single" w:color="000000" w:sz="4" w:space="0"/>
            </w:tcBorders>
            <w:shd w:val="clear"/>
            <w:noWrap/>
            <w:vAlign w:val="center"/>
          </w:tcPr>
          <w:p w14:paraId="06A368C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54</w:t>
            </w:r>
          </w:p>
        </w:tc>
        <w:tc>
          <w:tcPr>
            <w:tcW w:w="3112" w:type="dxa"/>
            <w:tcBorders>
              <w:top w:val="single" w:color="000000" w:sz="4" w:space="0"/>
              <w:left w:val="nil"/>
              <w:bottom w:val="single" w:color="000000" w:sz="4" w:space="0"/>
              <w:right w:val="single" w:color="000000" w:sz="4" w:space="0"/>
            </w:tcBorders>
            <w:shd w:val="clear"/>
            <w:noWrap/>
            <w:vAlign w:val="center"/>
          </w:tcPr>
          <w:p w14:paraId="0A759A4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18</w:t>
            </w:r>
          </w:p>
        </w:tc>
      </w:tr>
      <w:tr w14:paraId="5E3CA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3081" w:type="dxa"/>
            <w:gridSpan w:val="2"/>
            <w:tcBorders>
              <w:top w:val="single" w:color="000000" w:sz="4" w:space="0"/>
              <w:left w:val="single" w:color="000000" w:sz="4" w:space="0"/>
              <w:bottom w:val="single" w:color="000000" w:sz="4" w:space="0"/>
              <w:right w:val="single" w:color="000000" w:sz="4" w:space="0"/>
            </w:tcBorders>
            <w:shd w:val="clear"/>
            <w:noWrap/>
            <w:vAlign w:val="center"/>
          </w:tcPr>
          <w:p w14:paraId="65FE6D3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合计</w:t>
            </w:r>
          </w:p>
        </w:tc>
        <w:tc>
          <w:tcPr>
            <w:tcW w:w="2913" w:type="dxa"/>
            <w:tcBorders>
              <w:top w:val="single" w:color="000000" w:sz="4" w:space="0"/>
              <w:left w:val="nil"/>
              <w:bottom w:val="single" w:color="000000" w:sz="4" w:space="0"/>
              <w:right w:val="single" w:color="000000" w:sz="4" w:space="0"/>
            </w:tcBorders>
            <w:shd w:val="clear"/>
            <w:noWrap/>
            <w:vAlign w:val="center"/>
          </w:tcPr>
          <w:p w14:paraId="0C080636">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1478</w:t>
            </w:r>
          </w:p>
        </w:tc>
        <w:tc>
          <w:tcPr>
            <w:tcW w:w="3112" w:type="dxa"/>
            <w:tcBorders>
              <w:top w:val="single" w:color="000000" w:sz="4" w:space="0"/>
              <w:left w:val="nil"/>
              <w:bottom w:val="single" w:color="000000" w:sz="4" w:space="0"/>
              <w:right w:val="single" w:color="000000" w:sz="4" w:space="0"/>
            </w:tcBorders>
            <w:shd w:val="clear"/>
            <w:noWrap/>
            <w:vAlign w:val="center"/>
          </w:tcPr>
          <w:p w14:paraId="25857C9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500</w:t>
            </w:r>
          </w:p>
        </w:tc>
      </w:tr>
    </w:tbl>
    <w:p w14:paraId="58C4E726">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注：参考各地规上工业企业数量制定。</w:t>
      </w:r>
    </w:p>
    <w:p w14:paraId="1D54FB93">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2"/>
          <w:sz w:val="32"/>
          <w:szCs w:val="32"/>
          <w:lang w:val="en-US" w:eastAsia="zh-CN" w:bidi="ar-SA"/>
        </w:rPr>
      </w:pPr>
    </w:p>
    <w:bookmarkEnd w:id="0"/>
    <w:sectPr>
      <w:footerReference r:id="rId3" w:type="default"/>
      <w:pgSz w:w="11906" w:h="16838"/>
      <w:pgMar w:top="1984" w:right="1474" w:bottom="164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02AE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5B54CE"/>
    <w:rsid w:val="155B54CE"/>
    <w:rsid w:val="45B35D61"/>
    <w:rsid w:val="4E8C3AC5"/>
    <w:rsid w:val="6F912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2025-10-11T00:30:00Z</dcterms:created>
  <dc:creator>e小调  四葉草</dc:creator>
  <cp:lastModifiedBy>zxc</cp:lastModifiedBy>
  <dcterms:modified xsi:type="dcterms:W3CDTF">2025-11-03T08:33:45Z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B4A4897CB3BC408EA35D45A2FBC40621_13</vt:lpwstr>
  </property>
  <property fmtid="{D5CDD505-2E9C-101B-9397-08002B2CF9AE}" pid="4" name="KSOTemplateDocerSaveRecord">
    <vt:lpwstr>eyJoZGlkIjoiMTE3NjFmMzU5ZGVhMjdlZGVkODgyZDZiMzMxZDYzZDIiLCJ1c2VySWQiOiIyNTg4NjMyOTIifQ==</vt:lpwstr>
  </property>
</Properties>
</file>